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6" w:rsidRPr="00E851A7" w:rsidRDefault="0042632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326" w:rsidRPr="00E851A7" w:rsidRDefault="00426326" w:rsidP="009950A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AE0A71" w:rsidRPr="00E851A7" w:rsidRDefault="00113988" w:rsidP="009950A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21.12.2016  года  № 164</w:t>
      </w:r>
      <w:r w:rsidR="0042632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6C3E" w:rsidRPr="00E851A7" w:rsidRDefault="000F6C3E" w:rsidP="009950A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6C3E" w:rsidRPr="00E851A7" w:rsidRDefault="000F6C3E" w:rsidP="009950A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594A" w:rsidRPr="00E851A7" w:rsidRDefault="00F2594A" w:rsidP="00F2594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9950AF" w:rsidRPr="00E851A7" w:rsidRDefault="00673366" w:rsidP="00F2594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7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взаимодействия при осуществлении контроля </w:t>
      </w:r>
      <w:r w:rsidR="00137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</w:t>
      </w:r>
      <w:r w:rsidR="0019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Мурсалимкинский </w:t>
      </w:r>
      <w:r w:rsidR="00137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сельсовет муниципального района Салаватский район Республики Башкортостан</w:t>
      </w:r>
      <w:r w:rsidRPr="0067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субъектами контроля</w:t>
      </w:r>
      <w:r w:rsidR="00F2594A" w:rsidRPr="00E851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  <w:r w:rsidR="009950AF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0F6C3E" w:rsidRPr="00E851A7" w:rsidRDefault="000F6C3E" w:rsidP="009950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B9" w:rsidRPr="00E851A7" w:rsidRDefault="00D829BA" w:rsidP="00880C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B566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устанавливает правила взаимодействия  </w:t>
      </w:r>
      <w:r w:rsidR="00B5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осуществления контроля </w:t>
      </w:r>
      <w:r w:rsidR="001373A1">
        <w:rPr>
          <w:rFonts w:ascii="Times New Roman" w:hAnsi="Times New Roman" w:cs="Times New Roman"/>
          <w:sz w:val="28"/>
          <w:szCs w:val="28"/>
        </w:rPr>
        <w:t>Админист</w:t>
      </w:r>
      <w:r w:rsidR="0019707E">
        <w:rPr>
          <w:rFonts w:ascii="Times New Roman" w:hAnsi="Times New Roman" w:cs="Times New Roman"/>
          <w:sz w:val="28"/>
          <w:szCs w:val="28"/>
        </w:rPr>
        <w:t>рации сельского поселения Мурсалимкинский</w:t>
      </w:r>
      <w:r w:rsidR="001373A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880C5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880C5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субъектами контроля, указанными в пункт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</w:t>
      </w:r>
      <w:proofErr w:type="gramEnd"/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2015 г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1367 (далее – субъек</w:t>
      </w:r>
      <w:r w:rsidR="00B858B9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proofErr w:type="gramEnd"/>
      <w:r w:rsidR="00B858B9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 Правила контроля).</w:t>
      </w:r>
    </w:p>
    <w:p w:rsidR="00123FCD" w:rsidRPr="00E851A7" w:rsidRDefault="00B858B9" w:rsidP="00880C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B566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применяется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размещении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субъектами контроля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единой информационной системе в сфере закупок или направлении на согласование в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определенных Федеральным законом от 5 апреля 2013 г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 соответственно - контроль</w:t>
      </w:r>
      <w:proofErr w:type="gramEnd"/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объекты контроля, Федеральный закон)</w:t>
      </w:r>
      <w:r w:rsidR="006733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22D9" w:rsidRPr="00E851A7" w:rsidRDefault="00BE22D9" w:rsidP="00BE22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Взаимодействие субъектов контроля с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контроля информации, определенной частью 5 статьи 99 Федерального закона, содержащейся в объектах контроля (далее – контролируемая информация), осуществляется: </w:t>
      </w:r>
    </w:p>
    <w:p w:rsidR="00BE22D9" w:rsidRPr="00E851A7" w:rsidRDefault="00BE22D9" w:rsidP="009079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</w:t>
      </w:r>
      <w:r w:rsidR="009079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информационной системой в сфере закупок товаров, работ, услуг для обеспечения нужд Республики Башкортостан (далее – Региональная информационная система)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контроля в форме электронного документа в соответствии с едиными форматами, установленными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Российской Федерации в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Правилами функционирования единой информационной системы в сфере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закупок,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23 декабря 2015 г</w:t>
      </w:r>
      <w:r w:rsidR="00CE71F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1414 (далее – электронный документ, форматы);</w:t>
      </w:r>
    </w:p>
    <w:p w:rsidR="00B9644B" w:rsidRPr="00E851A7" w:rsidRDefault="00BE22D9" w:rsidP="00BE22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согласовании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контроля или сведений об объектах контроля, предусмотренных подпунктом «б» пункта 8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:rsidR="00CE71F7" w:rsidRPr="00E851A7" w:rsidRDefault="00CE71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размещении электронного документа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Региональной информационной системы направляет субъекту контроля </w:t>
      </w:r>
      <w:r w:rsidR="00C2171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64FE" w:rsidRPr="00E851A7" w:rsidRDefault="00CE71F7" w:rsidP="00880C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 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6F2062" w:rsidRPr="00E851A7" w:rsidRDefault="00CE71F7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F206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Сведения о закрытых объектах контроля направляются в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6F206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формах:</w:t>
      </w:r>
    </w:p>
    <w:p w:rsidR="006F2062" w:rsidRPr="00E851A7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приглашении принять участие в  определении поставщика (подрядчика, исполнителя) - по форме согласно приложению № 1 к настоящему Порядку (далее – сведения о приглашении);</w:t>
      </w:r>
    </w:p>
    <w:p w:rsidR="006F2062" w:rsidRPr="00E851A7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закупке - по форме согласно                приложению № 2 к настоящему Порядку (далее – сведения о документации);</w:t>
      </w:r>
    </w:p>
    <w:p w:rsidR="006F2062" w:rsidRPr="00E851A7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протоколе определения поставщика (подрядчика, исполнителя) - по форме согласно приложению № 3 к настоящему Порядку (далее – сведения о протоколе);</w:t>
      </w:r>
    </w:p>
    <w:p w:rsidR="006F2062" w:rsidRPr="008F4FE1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проекте контракта, направляемого участнику закупки (контракта, возвращаемого участником закупки) - по форме согласно приложению № 4 к настоящему Порядку (далее – сведения о проекте </w:t>
      </w:r>
      <w:r w:rsidRPr="008F4FE1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контракта);</w:t>
      </w:r>
    </w:p>
    <w:p w:rsidR="004449A9" w:rsidRPr="008F4FE1" w:rsidRDefault="004449A9" w:rsidP="004449A9">
      <w:pPr>
        <w:rPr>
          <w:color w:val="000000" w:themeColor="text1"/>
          <w:szCs w:val="28"/>
        </w:rPr>
      </w:pPr>
      <w:r w:rsidRPr="008F4FE1">
        <w:rPr>
          <w:color w:val="000000" w:themeColor="text1"/>
          <w:szCs w:val="28"/>
        </w:rPr>
        <w:t>сведения о контракте  (его изменении), включаемые в реестр контрактов, содержащий сведения, составляющие государственную тайну, - по форме, установленной законодательством.</w:t>
      </w:r>
    </w:p>
    <w:p w:rsidR="0079769C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FE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9769C" w:rsidRPr="008F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Закрытые объекты контроля, сведения о закрытых объектах контроля 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направляются субъектом контроля для согласования в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 в </w:t>
      </w:r>
      <w:r w:rsidR="001E73A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экземплярах. </w:t>
      </w:r>
      <w:proofErr w:type="gramStart"/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  <w:proofErr w:type="gramEnd"/>
    </w:p>
    <w:p w:rsidR="0079769C" w:rsidRPr="00E851A7" w:rsidRDefault="0086018E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проставляет на закрытом объекте контроля, сведениях о закрытом объекте контроля регистрационный номер, дату и время получения, подпись уполномоченного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возвращает 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субъекту контроля один экземпляр закрытого объекта контроля или сведений о закрытом объекте контроля. </w:t>
      </w:r>
    </w:p>
    <w:p w:rsidR="0079769C" w:rsidRPr="00E851A7" w:rsidRDefault="0079769C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79769C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 Закрытые объекты контроля, сведения о закрытых объектах  контроля, направляемые на бумажном носителе, подписываются лицом, имеющим право действовать от имени субъекта контроля.</w:t>
      </w:r>
    </w:p>
    <w:p w:rsidR="0079769C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субъектов контроля с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закрытые объекты контроля, сведения о закрытых объектах контроля, содержащие сведения, составляющие государственную тайну, направляются в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соблюдением требований законодательства Российской Федерации о защите государственной тайны.</w:t>
      </w:r>
    </w:p>
    <w:p w:rsidR="00FB08E6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B08E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 субъектами контроля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B08E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910876" w:rsidRPr="00E851A7" w:rsidRDefault="003642E9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а) субъектов контроля, указанных в подпункте «а» пункта 4 Правил контроля (далее – получатели бюджетных средств</w:t>
      </w:r>
      <w:r w:rsidR="0091087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F2552B" w:rsidRPr="0086018E" w:rsidRDefault="00673366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на предмет </w:t>
      </w:r>
      <w:proofErr w:type="spellStart"/>
      <w:r w:rsidRPr="0086018E">
        <w:rPr>
          <w:rFonts w:ascii="Times New Roman" w:hAnsi="Times New Roman" w:cs="Times New Roman"/>
          <w:color w:val="FF0000"/>
          <w:sz w:val="28"/>
          <w:szCs w:val="28"/>
        </w:rPr>
        <w:t>непревышения</w:t>
      </w:r>
      <w:proofErr w:type="spellEnd"/>
      <w:r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получателей средств бюджета </w:t>
      </w:r>
      <w:r w:rsidR="0019707E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Мурсалимкинский </w:t>
      </w:r>
      <w:r w:rsidR="00A15C46" w:rsidRPr="00A15C46">
        <w:rPr>
          <w:rFonts w:ascii="Times New Roman" w:hAnsi="Times New Roman" w:cs="Times New Roman"/>
          <w:color w:val="FF0000"/>
          <w:sz w:val="28"/>
          <w:szCs w:val="28"/>
        </w:rPr>
        <w:t>сельсовет муниципального района Салаватский район Республики Башкортостан</w:t>
      </w:r>
      <w:r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, утвержденным </w:t>
      </w:r>
      <w:r w:rsidR="00E078E5">
        <w:rPr>
          <w:rFonts w:ascii="Times New Roman" w:hAnsi="Times New Roman" w:cs="Times New Roman"/>
          <w:color w:val="0070C0"/>
          <w:sz w:val="28"/>
          <w:szCs w:val="28"/>
        </w:rPr>
        <w:t>постановлением Администрации сельского поселения от 21.12.2016 года  №161 «</w:t>
      </w:r>
      <w:r w:rsidRPr="0086018E">
        <w:rPr>
          <w:rFonts w:ascii="Times New Roman" w:hAnsi="Times New Roman" w:cs="Times New Roman"/>
          <w:color w:val="FF0000"/>
          <w:sz w:val="28"/>
          <w:szCs w:val="28"/>
        </w:rPr>
        <w:t>(далее – Порядок учета бюджетных</w:t>
      </w:r>
      <w:proofErr w:type="gramEnd"/>
      <w:r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 обязательств), на учет бюджетных обязательств; </w:t>
      </w:r>
    </w:p>
    <w:p w:rsidR="003642E9" w:rsidRPr="00E851A7" w:rsidRDefault="003642E9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сведениям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 объемах средств, указанных в правовых  актах (проектах 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актов, размещенных в установленном порядке в целях общественного обсуждения)</w:t>
      </w:r>
      <w:r w:rsidR="003441A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Башкортостан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документах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3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Правительством </w:t>
      </w:r>
      <w:r w:rsidR="00673366" w:rsidRPr="0010058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  <w:r w:rsidRPr="006733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0876" w:rsidRPr="00CD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612" w:rsidRPr="00CD38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D3881">
        <w:rPr>
          <w:rFonts w:ascii="Times New Roman" w:hAnsi="Times New Roman" w:cs="Times New Roman"/>
          <w:color w:val="000000" w:themeColor="text1"/>
          <w:sz w:val="28"/>
          <w:szCs w:val="28"/>
        </w:rPr>
        <w:t>редусматривающих в соответствии с бюджетным законодательством Российской Федерации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заключения государственного контракта на срок, превышающий срок действия доведенных лимитов бюджетных обязательств, направляемых 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90A88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</w:t>
      </w:r>
      <w:r w:rsidR="002574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включения в план закупок информации о закупках, оплата которых планируется по истечении планового периода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42E9" w:rsidRPr="00E851A7" w:rsidRDefault="003642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субъектов контроля, указанных в подпунктах «б», «в» (в части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автономных учреждений) пункта 4 Правил контроля (далее – учреждения),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предмет </w:t>
      </w:r>
      <w:proofErr w:type="spell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непревышения</w:t>
      </w:r>
      <w:proofErr w:type="spellEnd"/>
      <w:r w:rsidR="00ED02F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выплат по расходам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 закупки товаров, работ, услуг, осуществляемых в соответствии с Федеральным законом, отраженных в таблице 2.1 пункта 8 Требований к плану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28 июля 2010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81н</w:t>
      </w:r>
      <w:r w:rsidR="00296F8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план ФХД)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75E4" w:rsidRPr="00E851A7" w:rsidRDefault="00FC75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в) субъектов контроля, указанных в подпункте «в» пункта 4 (в части государственных унитарных предприятий) Правил контроля (далее – унитарные предприятия),</w:t>
      </w:r>
      <w:r w:rsidR="00986F4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предмет </w:t>
      </w:r>
      <w:proofErr w:type="spell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непревышения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F4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суммы бюджетного обязательства</w:t>
      </w:r>
      <w:r w:rsidR="003441A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бюджетных средств</w:t>
      </w:r>
      <w:r w:rsidR="00986F4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поставленного на учет в соответствии с Порядком учета бюджетных обязательств.</w:t>
      </w:r>
      <w:proofErr w:type="gramEnd"/>
    </w:p>
    <w:p w:rsidR="00E00654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 субъектами контроля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в соответствии </w:t>
      </w:r>
      <w:r w:rsidR="003441A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планов закупок, являющихся объектами контроля (закрытыми объектами контроля):</w:t>
      </w:r>
    </w:p>
    <w:p w:rsidR="00E00654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 </w:t>
      </w:r>
      <w:r w:rsidR="003A107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размещении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контроля</w:t>
      </w:r>
      <w:r w:rsidR="00EE62A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 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 </w:t>
      </w:r>
      <w:r w:rsidR="00EE62A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контроля в ЕИС и направлении закрытого объекта контроля на согласование в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00654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постановке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бюджетных обязательств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внесении изменений в поставленное на учет бюджетное обязательство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3757D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орядком учета бюджетных обязательств,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бюджетных обязательств,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закупк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услуг, не включенны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план закупок;</w:t>
      </w:r>
    </w:p>
    <w:p w:rsidR="00E00654" w:rsidRPr="0086018E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в) </w:t>
      </w:r>
      <w:r w:rsidR="007619C4"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при уменьшении субъекту контроля как получателю бюджетных средств  в соответствии с Порядком составления и ведения сводной бюджетной росписи бюджета </w:t>
      </w:r>
      <w:r w:rsidR="00A15C46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</w:t>
      </w:r>
      <w:r w:rsidR="0019707E">
        <w:rPr>
          <w:rFonts w:ascii="Times New Roman" w:hAnsi="Times New Roman" w:cs="Times New Roman"/>
          <w:color w:val="FF0000"/>
          <w:sz w:val="28"/>
          <w:szCs w:val="28"/>
        </w:rPr>
        <w:t xml:space="preserve">Мурсалимкинский </w:t>
      </w:r>
      <w:r w:rsidR="00A15C46">
        <w:rPr>
          <w:rFonts w:ascii="Times New Roman" w:hAnsi="Times New Roman" w:cs="Times New Roman"/>
          <w:color w:val="FF0000"/>
          <w:sz w:val="28"/>
          <w:szCs w:val="28"/>
        </w:rPr>
        <w:t>сельсовет муниципального района Салаватский район Республики Башкортостан</w:t>
      </w:r>
      <w:r w:rsidR="007619C4"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 и бюджетных росписей главных распорядителей средств бюджета </w:t>
      </w:r>
      <w:r w:rsidR="0019707E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Мурсалимкинский </w:t>
      </w:r>
      <w:r w:rsidR="00A15C46" w:rsidRPr="00A15C46">
        <w:rPr>
          <w:rFonts w:ascii="Times New Roman" w:hAnsi="Times New Roman" w:cs="Times New Roman"/>
          <w:color w:val="FF0000"/>
          <w:sz w:val="28"/>
          <w:szCs w:val="28"/>
        </w:rPr>
        <w:t>сельсовет муниципального района Салаватский район Республики Башкортостан</w:t>
      </w:r>
      <w:r w:rsidR="007619C4"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 (главных администраторов источников финансирования дефицита бюджета </w:t>
      </w:r>
      <w:r w:rsidR="0019707E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Мурсалимкинский </w:t>
      </w:r>
      <w:r w:rsidR="00A15C46" w:rsidRPr="00A15C46">
        <w:rPr>
          <w:rFonts w:ascii="Times New Roman" w:hAnsi="Times New Roman" w:cs="Times New Roman"/>
          <w:color w:val="FF0000"/>
          <w:sz w:val="28"/>
          <w:szCs w:val="28"/>
        </w:rPr>
        <w:t>сельсовет муниципального района Салаватский</w:t>
      </w:r>
      <w:proofErr w:type="gramEnd"/>
      <w:r w:rsidR="00A15C46" w:rsidRPr="00A15C46">
        <w:rPr>
          <w:rFonts w:ascii="Times New Roman" w:hAnsi="Times New Roman" w:cs="Times New Roman"/>
          <w:color w:val="FF0000"/>
          <w:sz w:val="28"/>
          <w:szCs w:val="28"/>
        </w:rPr>
        <w:t xml:space="preserve"> район Республики Башкортостан</w:t>
      </w:r>
      <w:r w:rsidR="007619C4" w:rsidRPr="0086018E">
        <w:rPr>
          <w:rFonts w:ascii="Times New Roman" w:hAnsi="Times New Roman" w:cs="Times New Roman"/>
          <w:color w:val="FF0000"/>
          <w:sz w:val="28"/>
          <w:szCs w:val="28"/>
        </w:rPr>
        <w:t xml:space="preserve">), </w:t>
      </w:r>
      <w:r w:rsidR="00E078E5">
        <w:rPr>
          <w:rFonts w:ascii="Times New Roman" w:hAnsi="Times New Roman" w:cs="Times New Roman"/>
          <w:color w:val="0070C0"/>
          <w:sz w:val="28"/>
          <w:szCs w:val="28"/>
        </w:rPr>
        <w:t>утвержденным постановлением администрации сельского поселения от 21.12.2016 года № 163</w:t>
      </w:r>
      <w:r w:rsidR="007619C4" w:rsidRPr="0087647D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="007619C4" w:rsidRPr="0086018E">
        <w:rPr>
          <w:rFonts w:ascii="Times New Roman" w:hAnsi="Times New Roman" w:cs="Times New Roman"/>
          <w:color w:val="FF0000"/>
          <w:sz w:val="28"/>
          <w:szCs w:val="28"/>
        </w:rPr>
        <w:t>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  <w:bookmarkStart w:id="0" w:name="_GoBack"/>
      <w:bookmarkEnd w:id="0"/>
    </w:p>
    <w:p w:rsidR="003642E9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при уменьшении показателей выплат на закупку товаров, работ, услуг, осуществляемых в соответствии с Федеральным законом, включенных в планы </w:t>
      </w:r>
      <w:r w:rsidR="00FD2CB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ФХД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B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при уменьшении объемов финансового обеспечения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</w:t>
      </w:r>
      <w:r w:rsidR="005D553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2 Бюджетного кодекса Российской Федерации</w:t>
      </w:r>
      <w:r w:rsidR="00FD2CB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определяемых в соответствии с подпунктом «в» пункта 9 настоящего Порядка.</w:t>
      </w:r>
    </w:p>
    <w:p w:rsidR="000F6ACC" w:rsidRPr="00E851A7" w:rsidRDefault="00CE71F7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F6AC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 субъектами контроля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AC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план-график </w:t>
      </w:r>
      <w:r w:rsidR="0092115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непревышение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плане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графике</w:t>
      </w:r>
      <w:proofErr w:type="gramEnd"/>
      <w:r w:rsidR="0030249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поставщиком (подрядчиком, исполнителем) по соответствующему идентификационному коду закупки, указанным в плане-графике</w:t>
      </w:r>
      <w:r w:rsidR="0030249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протокол определения поставщика (подрядчика, исполнителя) (сведения о протоколе)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непревышение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проект контракта, направляемый участнику закупки (контракт,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возвращаемый участником закупки) (сведения о проекте контракта)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соответствие содержащихся в нем (них):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 информацию, включаемую в реестр контрактов (сведения, включаемые в закрытый реестр контрактов)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соответствие: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79769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(сведений) о цене контракта – цене, указанной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 контракта в контракте (в сведениях о проекте контракта).</w:t>
      </w:r>
    </w:p>
    <w:p w:rsidR="00F42ABB" w:rsidRPr="00E851A7" w:rsidRDefault="00CE71F7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Указанные в пункте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объекты контроля проверяются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размещении в ЕИС, а закрытые объекты контроля (сведения о закрытых объектах контроля) - при согласовании их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1BFD" w:rsidRPr="00E851A7" w:rsidRDefault="00CE71F7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Предусмотренное пунктом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взаимодействие субъектов контроля с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проверке объектов контроля (сведений об объектах контроля), указанных в подпунктах «б» - «г» пункта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осуществляется с учетом следующих особенностей: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плане-графике</w:t>
      </w:r>
      <w:r w:rsidR="006105A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заказчика;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непревышение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таком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протоколе (сведени</w:t>
      </w:r>
      <w:r w:rsidR="006105A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закупки) (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сведениях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проекте контракта):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объекты контроля по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закупкам, указываемым в плане-графике </w:t>
      </w:r>
      <w:r w:rsidR="00A3506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отдельной строкой в</w:t>
      </w:r>
      <w:r w:rsidR="00A3506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проверяются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непревышение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включенной в план-график </w:t>
      </w:r>
      <w:r w:rsidR="00A3506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планируемых платежах по  таким закупкам с учетом: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</w:t>
      </w:r>
      <w:r w:rsidR="000F643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подрядчика,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исполнителя) по которым не завершены;</w:t>
      </w:r>
      <w:proofErr w:type="gramEnd"/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идентификационного кода закупки - аналогичной информации, содержащейся в документации</w:t>
      </w:r>
      <w:r w:rsidR="000F643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закупке (сведениях о документации</w:t>
      </w:r>
      <w:r w:rsidR="004A255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непревышение</w:t>
      </w:r>
      <w:proofErr w:type="spell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FA5CB2" w:rsidRPr="00E851A7" w:rsidRDefault="00CE71F7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FA5C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сроки, установленные пунктами 14 и 15 Правил контроля, со дня направления субъекту контроля </w:t>
      </w:r>
      <w:r w:rsidR="004A255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="00FA5C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начале контроля или поступления объекта контроля на бумажном носителе в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FA5C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объект контроля размещается в ЕИС </w:t>
      </w:r>
      <w:r w:rsidR="000F2C2D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proofErr w:type="spellStart"/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854E61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7EC6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  <w:r w:rsidR="000F2C2D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="00092513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513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к Общим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</w:t>
      </w:r>
      <w:r w:rsidR="00092513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</w:t>
      </w:r>
      <w:proofErr w:type="gramEnd"/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</w:t>
      </w:r>
      <w:r w:rsidR="00BE5274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12 декабря 2015 года № 1367, утвержденны</w:t>
      </w:r>
      <w:r w:rsidR="00BE5274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финансов Российской Федерации от</w:t>
      </w:r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22 июля 2016 года № 120н,</w:t>
      </w:r>
      <w:r w:rsidR="000F2C2D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proofErr w:type="gramEnd"/>
      <w:r w:rsidR="00543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отметку о соответствии закрытой контролируемой 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случае выявления при проведении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несоответствия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субъекту контроля в </w:t>
      </w:r>
      <w:r w:rsidR="00854E61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информационной системе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частью 5 статьи 99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по форме согласно приложению</w:t>
      </w:r>
      <w:r w:rsidRPr="0045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50F8B" w:rsidRPr="00450F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5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 и при проверке контролируемой информации, содержащейся: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проставляет на сведениях о приглашении, сведениях о проекте контракта </w:t>
      </w: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отметку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несоответствии включенной в них контролируемой информации (далее – отметка о несоответствии);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</w:t>
      </w:r>
      <w:r w:rsidR="005B697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исполнителем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или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854E61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</w:t>
      </w:r>
      <w:proofErr w:type="gramEnd"/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«б» и «в» пункта </w:t>
      </w:r>
      <w:r w:rsidR="00CE71F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9769C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объектах контроля, указанных в пункте </w:t>
      </w:r>
      <w:r w:rsidR="00CE71F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</w:t>
      </w:r>
      <w:r w:rsidR="00296F8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995FEC" w:rsidRPr="00E851A7" w:rsidRDefault="00995FEC" w:rsidP="00152D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5FEC" w:rsidRPr="00E851A7" w:rsidSect="005D0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089" w:rsidRDefault="00040089" w:rsidP="009470C4">
      <w:r>
        <w:separator/>
      </w:r>
    </w:p>
  </w:endnote>
  <w:endnote w:type="continuationSeparator" w:id="0">
    <w:p w:rsidR="00040089" w:rsidRDefault="00040089" w:rsidP="00947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089" w:rsidRDefault="00040089" w:rsidP="009470C4">
      <w:r>
        <w:separator/>
      </w:r>
    </w:p>
  </w:footnote>
  <w:footnote w:type="continuationSeparator" w:id="0">
    <w:p w:rsidR="00040089" w:rsidRDefault="00040089" w:rsidP="00947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3001194"/>
    </w:sdtPr>
    <w:sdtContent>
      <w:p w:rsidR="005B666B" w:rsidRDefault="00DA50FB">
        <w:pPr>
          <w:pStyle w:val="a6"/>
          <w:jc w:val="center"/>
        </w:pPr>
        <w:r>
          <w:fldChar w:fldCharType="begin"/>
        </w:r>
        <w:r w:rsidR="005B666B">
          <w:instrText>PAGE   \* MERGEFORMAT</w:instrText>
        </w:r>
        <w:r>
          <w:fldChar w:fldCharType="separate"/>
        </w:r>
        <w:r w:rsidR="000B785C">
          <w:rPr>
            <w:noProof/>
          </w:rPr>
          <w:t>2</w:t>
        </w:r>
        <w:r>
          <w:fldChar w:fldCharType="end"/>
        </w:r>
      </w:p>
    </w:sdtContent>
  </w:sdt>
  <w:p w:rsidR="009470C4" w:rsidRDefault="009470C4" w:rsidP="009470C4">
    <w:pPr>
      <w:pStyle w:val="a6"/>
      <w:tabs>
        <w:tab w:val="clear" w:pos="4677"/>
        <w:tab w:val="clear" w:pos="9355"/>
        <w:tab w:val="left" w:pos="363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A43F0"/>
    <w:rsid w:val="00012C91"/>
    <w:rsid w:val="00040089"/>
    <w:rsid w:val="0004715C"/>
    <w:rsid w:val="00064F4E"/>
    <w:rsid w:val="00092513"/>
    <w:rsid w:val="0009366E"/>
    <w:rsid w:val="000B4BBD"/>
    <w:rsid w:val="000B51B8"/>
    <w:rsid w:val="000B6F06"/>
    <w:rsid w:val="000B785C"/>
    <w:rsid w:val="000D05CB"/>
    <w:rsid w:val="000E165D"/>
    <w:rsid w:val="000F2C2D"/>
    <w:rsid w:val="000F643C"/>
    <w:rsid w:val="000F6ACC"/>
    <w:rsid w:val="000F6C3E"/>
    <w:rsid w:val="0010058A"/>
    <w:rsid w:val="00101717"/>
    <w:rsid w:val="00105612"/>
    <w:rsid w:val="00113988"/>
    <w:rsid w:val="001207B8"/>
    <w:rsid w:val="00123FCD"/>
    <w:rsid w:val="001362A6"/>
    <w:rsid w:val="001373A1"/>
    <w:rsid w:val="001377F0"/>
    <w:rsid w:val="00152D87"/>
    <w:rsid w:val="0018535B"/>
    <w:rsid w:val="00191BFD"/>
    <w:rsid w:val="0019707E"/>
    <w:rsid w:val="001E73A7"/>
    <w:rsid w:val="001F13A4"/>
    <w:rsid w:val="001F2686"/>
    <w:rsid w:val="001F5FF0"/>
    <w:rsid w:val="00213D72"/>
    <w:rsid w:val="002150F2"/>
    <w:rsid w:val="00225C28"/>
    <w:rsid w:val="002307EA"/>
    <w:rsid w:val="00233138"/>
    <w:rsid w:val="002407D8"/>
    <w:rsid w:val="0025272D"/>
    <w:rsid w:val="0025742E"/>
    <w:rsid w:val="00264532"/>
    <w:rsid w:val="00280902"/>
    <w:rsid w:val="00296F86"/>
    <w:rsid w:val="002C0143"/>
    <w:rsid w:val="002C099E"/>
    <w:rsid w:val="002E3153"/>
    <w:rsid w:val="002E3A99"/>
    <w:rsid w:val="002F2AF8"/>
    <w:rsid w:val="0030249A"/>
    <w:rsid w:val="003441A4"/>
    <w:rsid w:val="00347EC9"/>
    <w:rsid w:val="0035003A"/>
    <w:rsid w:val="003573B5"/>
    <w:rsid w:val="003615FF"/>
    <w:rsid w:val="003642E9"/>
    <w:rsid w:val="0036435A"/>
    <w:rsid w:val="003757DD"/>
    <w:rsid w:val="003937E0"/>
    <w:rsid w:val="003A107A"/>
    <w:rsid w:val="003A1CC5"/>
    <w:rsid w:val="003B142B"/>
    <w:rsid w:val="003B51B2"/>
    <w:rsid w:val="003C2F3D"/>
    <w:rsid w:val="003C6AD5"/>
    <w:rsid w:val="003E4998"/>
    <w:rsid w:val="003F1FF7"/>
    <w:rsid w:val="004049AF"/>
    <w:rsid w:val="00411E14"/>
    <w:rsid w:val="00426326"/>
    <w:rsid w:val="0044373B"/>
    <w:rsid w:val="004449A9"/>
    <w:rsid w:val="00450F8B"/>
    <w:rsid w:val="00467997"/>
    <w:rsid w:val="00492BD2"/>
    <w:rsid w:val="00494743"/>
    <w:rsid w:val="0049580D"/>
    <w:rsid w:val="004A255D"/>
    <w:rsid w:val="004B72B7"/>
    <w:rsid w:val="004B7AD8"/>
    <w:rsid w:val="004D4705"/>
    <w:rsid w:val="004D6F2E"/>
    <w:rsid w:val="004E4C31"/>
    <w:rsid w:val="004F5867"/>
    <w:rsid w:val="005264FE"/>
    <w:rsid w:val="0054174D"/>
    <w:rsid w:val="00543A38"/>
    <w:rsid w:val="00592C0C"/>
    <w:rsid w:val="005968F7"/>
    <w:rsid w:val="005A49EA"/>
    <w:rsid w:val="005B666B"/>
    <w:rsid w:val="005B6978"/>
    <w:rsid w:val="005B7993"/>
    <w:rsid w:val="005C102D"/>
    <w:rsid w:val="005D04AF"/>
    <w:rsid w:val="005D553A"/>
    <w:rsid w:val="005E4871"/>
    <w:rsid w:val="006105A2"/>
    <w:rsid w:val="00636200"/>
    <w:rsid w:val="0064463F"/>
    <w:rsid w:val="006672C9"/>
    <w:rsid w:val="00667DA9"/>
    <w:rsid w:val="00673366"/>
    <w:rsid w:val="00686A16"/>
    <w:rsid w:val="00687595"/>
    <w:rsid w:val="00696C08"/>
    <w:rsid w:val="0069775E"/>
    <w:rsid w:val="006B5D0C"/>
    <w:rsid w:val="006F143E"/>
    <w:rsid w:val="006F2062"/>
    <w:rsid w:val="00706D82"/>
    <w:rsid w:val="00716CCF"/>
    <w:rsid w:val="00733AFD"/>
    <w:rsid w:val="00743742"/>
    <w:rsid w:val="007619C4"/>
    <w:rsid w:val="00773F62"/>
    <w:rsid w:val="0079769C"/>
    <w:rsid w:val="007A43F0"/>
    <w:rsid w:val="007B3FD0"/>
    <w:rsid w:val="007B4AB7"/>
    <w:rsid w:val="007C72AC"/>
    <w:rsid w:val="007E121A"/>
    <w:rsid w:val="008130C3"/>
    <w:rsid w:val="0081551D"/>
    <w:rsid w:val="008463FB"/>
    <w:rsid w:val="00847DCF"/>
    <w:rsid w:val="008541E7"/>
    <w:rsid w:val="00854E61"/>
    <w:rsid w:val="008577D1"/>
    <w:rsid w:val="0086018E"/>
    <w:rsid w:val="00870FDB"/>
    <w:rsid w:val="0087479B"/>
    <w:rsid w:val="0087647D"/>
    <w:rsid w:val="00880C5A"/>
    <w:rsid w:val="008844A1"/>
    <w:rsid w:val="0089051A"/>
    <w:rsid w:val="008B437E"/>
    <w:rsid w:val="008D5CA1"/>
    <w:rsid w:val="008E15D1"/>
    <w:rsid w:val="008E688F"/>
    <w:rsid w:val="008F41EB"/>
    <w:rsid w:val="008F4FE1"/>
    <w:rsid w:val="008F7E29"/>
    <w:rsid w:val="00900D74"/>
    <w:rsid w:val="00900DD2"/>
    <w:rsid w:val="009079B2"/>
    <w:rsid w:val="00910876"/>
    <w:rsid w:val="009141E0"/>
    <w:rsid w:val="00921153"/>
    <w:rsid w:val="009364C6"/>
    <w:rsid w:val="00945A47"/>
    <w:rsid w:val="009470C4"/>
    <w:rsid w:val="009600C6"/>
    <w:rsid w:val="00972C21"/>
    <w:rsid w:val="00980D01"/>
    <w:rsid w:val="009847BF"/>
    <w:rsid w:val="00986F48"/>
    <w:rsid w:val="009950AF"/>
    <w:rsid w:val="00995FEC"/>
    <w:rsid w:val="009A58CF"/>
    <w:rsid w:val="009B797B"/>
    <w:rsid w:val="009E7AE1"/>
    <w:rsid w:val="00A15C46"/>
    <w:rsid w:val="00A26DEB"/>
    <w:rsid w:val="00A35060"/>
    <w:rsid w:val="00A42E45"/>
    <w:rsid w:val="00A60FE3"/>
    <w:rsid w:val="00A67C04"/>
    <w:rsid w:val="00A778BE"/>
    <w:rsid w:val="00A9732D"/>
    <w:rsid w:val="00AB390F"/>
    <w:rsid w:val="00AB5DB1"/>
    <w:rsid w:val="00AB7658"/>
    <w:rsid w:val="00AC25E9"/>
    <w:rsid w:val="00AE0A71"/>
    <w:rsid w:val="00AF08EB"/>
    <w:rsid w:val="00B009C7"/>
    <w:rsid w:val="00B01147"/>
    <w:rsid w:val="00B11D13"/>
    <w:rsid w:val="00B15FBC"/>
    <w:rsid w:val="00B35B8F"/>
    <w:rsid w:val="00B449D4"/>
    <w:rsid w:val="00B4753C"/>
    <w:rsid w:val="00B56619"/>
    <w:rsid w:val="00B60650"/>
    <w:rsid w:val="00B71BF4"/>
    <w:rsid w:val="00B77321"/>
    <w:rsid w:val="00B837BF"/>
    <w:rsid w:val="00B858B9"/>
    <w:rsid w:val="00B90A88"/>
    <w:rsid w:val="00B9644B"/>
    <w:rsid w:val="00BA586D"/>
    <w:rsid w:val="00BA76E0"/>
    <w:rsid w:val="00BB6287"/>
    <w:rsid w:val="00BC0772"/>
    <w:rsid w:val="00BC4E92"/>
    <w:rsid w:val="00BE0761"/>
    <w:rsid w:val="00BE22D9"/>
    <w:rsid w:val="00BE5274"/>
    <w:rsid w:val="00BE7486"/>
    <w:rsid w:val="00BF012C"/>
    <w:rsid w:val="00BF0B48"/>
    <w:rsid w:val="00C01F59"/>
    <w:rsid w:val="00C103E3"/>
    <w:rsid w:val="00C104CD"/>
    <w:rsid w:val="00C21714"/>
    <w:rsid w:val="00C27C4A"/>
    <w:rsid w:val="00C30EA7"/>
    <w:rsid w:val="00C55DF4"/>
    <w:rsid w:val="00C65679"/>
    <w:rsid w:val="00C65A9F"/>
    <w:rsid w:val="00C76F40"/>
    <w:rsid w:val="00C86FEC"/>
    <w:rsid w:val="00C95763"/>
    <w:rsid w:val="00CA3A88"/>
    <w:rsid w:val="00CC7DA9"/>
    <w:rsid w:val="00CD0F4F"/>
    <w:rsid w:val="00CD3881"/>
    <w:rsid w:val="00CE1DB9"/>
    <w:rsid w:val="00CE37BF"/>
    <w:rsid w:val="00CE4351"/>
    <w:rsid w:val="00CE71F7"/>
    <w:rsid w:val="00CF617F"/>
    <w:rsid w:val="00D34AB6"/>
    <w:rsid w:val="00D37948"/>
    <w:rsid w:val="00D37B7F"/>
    <w:rsid w:val="00D63F50"/>
    <w:rsid w:val="00D66DBA"/>
    <w:rsid w:val="00D7051B"/>
    <w:rsid w:val="00D73C9A"/>
    <w:rsid w:val="00D829BA"/>
    <w:rsid w:val="00D94047"/>
    <w:rsid w:val="00DA50FB"/>
    <w:rsid w:val="00DB3B4E"/>
    <w:rsid w:val="00DB7EC6"/>
    <w:rsid w:val="00DC2315"/>
    <w:rsid w:val="00DC6FD1"/>
    <w:rsid w:val="00DE5E1F"/>
    <w:rsid w:val="00DF7A6B"/>
    <w:rsid w:val="00E00509"/>
    <w:rsid w:val="00E00654"/>
    <w:rsid w:val="00E06874"/>
    <w:rsid w:val="00E078E5"/>
    <w:rsid w:val="00E156A7"/>
    <w:rsid w:val="00E36832"/>
    <w:rsid w:val="00E460AA"/>
    <w:rsid w:val="00E56212"/>
    <w:rsid w:val="00E56A5E"/>
    <w:rsid w:val="00E60F27"/>
    <w:rsid w:val="00E66EE8"/>
    <w:rsid w:val="00E71F04"/>
    <w:rsid w:val="00E739A7"/>
    <w:rsid w:val="00E81EB6"/>
    <w:rsid w:val="00E83AFF"/>
    <w:rsid w:val="00E851A7"/>
    <w:rsid w:val="00E85A27"/>
    <w:rsid w:val="00E85F75"/>
    <w:rsid w:val="00E95CEA"/>
    <w:rsid w:val="00EB0581"/>
    <w:rsid w:val="00EB78A0"/>
    <w:rsid w:val="00ED02F0"/>
    <w:rsid w:val="00EE3450"/>
    <w:rsid w:val="00EE62A3"/>
    <w:rsid w:val="00EF5FC0"/>
    <w:rsid w:val="00F14EB9"/>
    <w:rsid w:val="00F24236"/>
    <w:rsid w:val="00F2552B"/>
    <w:rsid w:val="00F2594A"/>
    <w:rsid w:val="00F27B05"/>
    <w:rsid w:val="00F42ABB"/>
    <w:rsid w:val="00F511C0"/>
    <w:rsid w:val="00FA2D82"/>
    <w:rsid w:val="00FA5CB2"/>
    <w:rsid w:val="00FB08C6"/>
    <w:rsid w:val="00FB08E6"/>
    <w:rsid w:val="00FC39B5"/>
    <w:rsid w:val="00FC3FEC"/>
    <w:rsid w:val="00FC75E4"/>
    <w:rsid w:val="00FD2CB3"/>
    <w:rsid w:val="00FE4F3B"/>
    <w:rsid w:val="00FE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3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3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696C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1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70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0C4"/>
  </w:style>
  <w:style w:type="paragraph" w:styleId="a8">
    <w:name w:val="footer"/>
    <w:basedOn w:val="a"/>
    <w:link w:val="a9"/>
    <w:uiPriority w:val="99"/>
    <w:unhideWhenUsed/>
    <w:rsid w:val="009470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0C4"/>
  </w:style>
  <w:style w:type="paragraph" w:styleId="aa">
    <w:name w:val="List Paragraph"/>
    <w:basedOn w:val="a"/>
    <w:autoRedefine/>
    <w:uiPriority w:val="34"/>
    <w:qFormat/>
    <w:rsid w:val="006F2062"/>
    <w:pPr>
      <w:spacing w:before="60"/>
      <w:outlineLvl w:val="1"/>
    </w:pPr>
  </w:style>
  <w:style w:type="paragraph" w:styleId="ab">
    <w:name w:val="footnote text"/>
    <w:basedOn w:val="a"/>
    <w:link w:val="ac"/>
    <w:uiPriority w:val="99"/>
    <w:unhideWhenUsed/>
    <w:rsid w:val="006F20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6F2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F20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308C-309F-4D6C-B0DE-7303B486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Гилязиева Азалия Рафатовна</dc:creator>
  <cp:lastModifiedBy>WinXP</cp:lastModifiedBy>
  <cp:revision>9</cp:revision>
  <cp:lastPrinted>2016-12-23T09:16:00Z</cp:lastPrinted>
  <dcterms:created xsi:type="dcterms:W3CDTF">2016-12-20T12:24:00Z</dcterms:created>
  <dcterms:modified xsi:type="dcterms:W3CDTF">2016-12-23T09:17:00Z</dcterms:modified>
</cp:coreProperties>
</file>