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74" w:rsidRPr="00980F74" w:rsidRDefault="00980F74" w:rsidP="00021E0E">
      <w:pPr>
        <w:jc w:val="center"/>
      </w:pPr>
    </w:p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643C72" w:rsidRPr="007F05BA" w:rsidTr="005B4EBD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643C72" w:rsidRPr="007F05BA" w:rsidTr="005B4EBD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8C354A3" wp14:editId="4892AEF5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643C72" w:rsidRPr="007F05BA" w:rsidTr="005B4EBD">
              <w:tc>
                <w:tcPr>
                  <w:tcW w:w="4132" w:type="dxa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643C72" w:rsidRPr="007F05BA" w:rsidRDefault="00643C72" w:rsidP="005B4EBD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643C72" w:rsidRPr="007F05BA" w:rsidRDefault="00643C72" w:rsidP="005B4EBD">
            <w:pPr>
              <w:ind w:firstLine="0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E4EBA41" wp14:editId="6D4C33DD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643C72" w:rsidRPr="007F05BA" w:rsidRDefault="00643C72" w:rsidP="005B4EBD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643C72" w:rsidRPr="007F05BA" w:rsidRDefault="00643C72" w:rsidP="005B4EB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643C72" w:rsidRPr="007F05BA" w:rsidRDefault="00643C72" w:rsidP="005B4EBD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3C72" w:rsidRDefault="00643C72" w:rsidP="00643C72">
      <w:pPr>
        <w:tabs>
          <w:tab w:val="left" w:pos="4395"/>
        </w:tabs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Тридцать второе</w:t>
      </w:r>
      <w:r w:rsidRPr="007F05BA">
        <w:rPr>
          <w:rFonts w:eastAsia="Times New Roman"/>
          <w:szCs w:val="28"/>
          <w:lang w:eastAsia="ru-RU"/>
        </w:rPr>
        <w:t xml:space="preserve"> заседание четвертого созыва</w:t>
      </w:r>
    </w:p>
    <w:p w:rsidR="00643C72" w:rsidRPr="007F05BA" w:rsidRDefault="00643C72" w:rsidP="00643C72">
      <w:pPr>
        <w:tabs>
          <w:tab w:val="left" w:pos="4395"/>
        </w:tabs>
        <w:ind w:firstLine="720"/>
        <w:jc w:val="center"/>
        <w:rPr>
          <w:rFonts w:eastAsia="Times New Roman"/>
          <w:szCs w:val="28"/>
          <w:lang w:eastAsia="ru-RU"/>
        </w:rPr>
      </w:pPr>
    </w:p>
    <w:p w:rsidR="00643C72" w:rsidRPr="007F05BA" w:rsidRDefault="00643C72" w:rsidP="00643C72">
      <w:pPr>
        <w:tabs>
          <w:tab w:val="left" w:pos="4395"/>
        </w:tabs>
        <w:ind w:firstLine="720"/>
        <w:jc w:val="center"/>
        <w:rPr>
          <w:rFonts w:eastAsia="Times New Roman"/>
          <w:szCs w:val="28"/>
          <w:lang w:eastAsia="ru-RU"/>
        </w:rPr>
      </w:pPr>
      <w:r w:rsidRPr="007F05BA">
        <w:rPr>
          <w:rFonts w:eastAsia="Times New Roman"/>
          <w:szCs w:val="28"/>
          <w:lang w:eastAsia="ru-RU"/>
        </w:rPr>
        <w:t>РЕШЕНИЕ</w:t>
      </w:r>
    </w:p>
    <w:p w:rsidR="00643C72" w:rsidRDefault="00643C72" w:rsidP="00643C72">
      <w:pPr>
        <w:tabs>
          <w:tab w:val="left" w:pos="4395"/>
        </w:tabs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</w:t>
      </w:r>
      <w:r>
        <w:rPr>
          <w:rFonts w:eastAsia="Times New Roman"/>
          <w:szCs w:val="28"/>
          <w:lang w:eastAsia="ru-RU"/>
        </w:rPr>
        <w:t xml:space="preserve"> апреля 2020 года  №143</w:t>
      </w:r>
    </w:p>
    <w:p w:rsidR="00643C72" w:rsidRDefault="00643C72" w:rsidP="00643C72">
      <w:pPr>
        <w:tabs>
          <w:tab w:val="left" w:pos="4395"/>
        </w:tabs>
        <w:ind w:firstLine="720"/>
        <w:jc w:val="center"/>
        <w:rPr>
          <w:sz w:val="26"/>
          <w:szCs w:val="26"/>
        </w:rPr>
      </w:pPr>
    </w:p>
    <w:p w:rsidR="00980F74" w:rsidRPr="00980F74" w:rsidRDefault="00980F74" w:rsidP="00021E0E">
      <w:pPr>
        <w:jc w:val="center"/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>се</w:t>
      </w:r>
      <w:r w:rsidR="00643C72">
        <w:rPr>
          <w:rFonts w:ascii="Times New Roman" w:hAnsi="Times New Roman" w:cs="Times New Roman"/>
          <w:b w:val="0"/>
          <w:sz w:val="28"/>
          <w:szCs w:val="28"/>
        </w:rPr>
        <w:t>льского поселения Мурсалимкинский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Салаватский район  Республики Башкортостан </w:t>
      </w:r>
    </w:p>
    <w:p w:rsidR="00212ACC" w:rsidRPr="00980F74" w:rsidRDefault="00212ACC" w:rsidP="00980F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1A9F" w:rsidRPr="00980F74" w:rsidRDefault="002C1A9F" w:rsidP="008E7A73">
      <w:pPr>
        <w:tabs>
          <w:tab w:val="num" w:pos="360"/>
        </w:tabs>
        <w:jc w:val="center"/>
        <w:rPr>
          <w:szCs w:val="28"/>
        </w:rPr>
      </w:pPr>
    </w:p>
    <w:p w:rsidR="00643C72" w:rsidRDefault="00933096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В соответствии с Федеральным законом от 06</w:t>
      </w:r>
      <w:r w:rsidR="00212ACC" w:rsidRPr="00980F74">
        <w:rPr>
          <w:szCs w:val="28"/>
        </w:rPr>
        <w:t xml:space="preserve"> октября </w:t>
      </w:r>
      <w:r w:rsidRPr="00980F74">
        <w:rPr>
          <w:szCs w:val="28"/>
        </w:rPr>
        <w:t>2003</w:t>
      </w:r>
      <w:r w:rsidR="00212ACC" w:rsidRPr="00980F74">
        <w:rPr>
          <w:szCs w:val="28"/>
        </w:rPr>
        <w:t xml:space="preserve"> г.</w:t>
      </w:r>
      <w:r w:rsidRPr="00980F74">
        <w:rPr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B2465F" w:rsidRPr="00980F74">
        <w:rPr>
          <w:szCs w:val="28"/>
        </w:rPr>
        <w:t xml:space="preserve">Совет </w:t>
      </w:r>
      <w:r w:rsidR="00980F74" w:rsidRPr="00980F74">
        <w:rPr>
          <w:szCs w:val="28"/>
        </w:rPr>
        <w:t>се</w:t>
      </w:r>
      <w:r w:rsidR="00643C72">
        <w:rPr>
          <w:szCs w:val="28"/>
        </w:rPr>
        <w:t xml:space="preserve">льского поселения </w:t>
      </w:r>
      <w:r w:rsidR="00980F74" w:rsidRPr="00980F74">
        <w:rPr>
          <w:szCs w:val="28"/>
        </w:rPr>
        <w:t xml:space="preserve"> </w:t>
      </w:r>
      <w:r w:rsidR="00643C72" w:rsidRPr="00643C72">
        <w:rPr>
          <w:szCs w:val="28"/>
        </w:rPr>
        <w:t xml:space="preserve">Мурсалимкинский </w:t>
      </w:r>
      <w:r w:rsidR="00980F74" w:rsidRPr="00980F74">
        <w:rPr>
          <w:szCs w:val="28"/>
        </w:rPr>
        <w:t xml:space="preserve">сельсовет </w:t>
      </w:r>
      <w:r w:rsidR="00B2465F" w:rsidRPr="00980F74">
        <w:rPr>
          <w:szCs w:val="28"/>
        </w:rPr>
        <w:t>муниципального района Салаватский район Республики Башкортостан</w:t>
      </w:r>
    </w:p>
    <w:p w:rsidR="00B2465F" w:rsidRPr="00980F74" w:rsidRDefault="00643C72" w:rsidP="00643C72">
      <w:pPr>
        <w:ind w:firstLine="0"/>
        <w:jc w:val="both"/>
        <w:rPr>
          <w:szCs w:val="28"/>
        </w:rPr>
      </w:pPr>
      <w:r>
        <w:rPr>
          <w:szCs w:val="28"/>
        </w:rPr>
        <w:t>РЕШИЛ</w:t>
      </w:r>
      <w:r w:rsidR="00212ACC" w:rsidRPr="00980F74">
        <w:rPr>
          <w:szCs w:val="28"/>
        </w:rPr>
        <w:t>:</w:t>
      </w:r>
    </w:p>
    <w:p w:rsidR="00B2465F" w:rsidRPr="00980F74" w:rsidRDefault="004609DE" w:rsidP="00C8793E">
      <w:pPr>
        <w:ind w:firstLine="708"/>
        <w:jc w:val="both"/>
        <w:rPr>
          <w:szCs w:val="28"/>
        </w:rPr>
      </w:pPr>
      <w:r w:rsidRPr="00980F74">
        <w:rPr>
          <w:szCs w:val="28"/>
        </w:rPr>
        <w:t>1</w:t>
      </w:r>
      <w:r w:rsidR="00B2465F" w:rsidRPr="00980F74">
        <w:rPr>
          <w:szCs w:val="28"/>
        </w:rPr>
        <w:t xml:space="preserve">. </w:t>
      </w:r>
      <w:r w:rsidR="00C8793E" w:rsidRPr="00980F74">
        <w:rPr>
          <w:szCs w:val="28"/>
        </w:rPr>
        <w:t>Утвердить прилагаемое Положение о порядке списания</w:t>
      </w:r>
      <w:r w:rsidR="00980F74" w:rsidRPr="00980F74">
        <w:rPr>
          <w:szCs w:val="28"/>
        </w:rPr>
        <w:t xml:space="preserve"> </w:t>
      </w:r>
      <w:r w:rsidR="00C8793E" w:rsidRPr="00980F74">
        <w:rPr>
          <w:szCs w:val="28"/>
        </w:rPr>
        <w:t xml:space="preserve">муниципального имущества </w:t>
      </w:r>
      <w:r w:rsidR="00980F74" w:rsidRPr="00980F74">
        <w:rPr>
          <w:szCs w:val="28"/>
        </w:rPr>
        <w:t>се</w:t>
      </w:r>
      <w:r w:rsidR="00643C72">
        <w:rPr>
          <w:szCs w:val="28"/>
        </w:rPr>
        <w:t xml:space="preserve">льского поселения </w:t>
      </w:r>
      <w:r w:rsidR="00980F74" w:rsidRPr="00980F74">
        <w:rPr>
          <w:szCs w:val="28"/>
        </w:rPr>
        <w:t xml:space="preserve"> </w:t>
      </w:r>
      <w:r w:rsidR="00643C72" w:rsidRPr="00643C72">
        <w:rPr>
          <w:szCs w:val="28"/>
        </w:rPr>
        <w:t xml:space="preserve">Мурсалимкинский </w:t>
      </w:r>
      <w:r w:rsidR="00980F74" w:rsidRPr="00980F74">
        <w:rPr>
          <w:szCs w:val="28"/>
        </w:rPr>
        <w:t xml:space="preserve">сельсовет </w:t>
      </w:r>
      <w:r w:rsidR="00C8793E" w:rsidRPr="00980F74">
        <w:rPr>
          <w:szCs w:val="28"/>
        </w:rPr>
        <w:t>муниципального района Салаватский район  Республики Башкортостан.</w:t>
      </w:r>
    </w:p>
    <w:p w:rsidR="00B2465F" w:rsidRPr="00980F74" w:rsidRDefault="00980F74" w:rsidP="00B2465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1159C" w:rsidRPr="00980F74">
        <w:rPr>
          <w:szCs w:val="28"/>
        </w:rPr>
        <w:t>.</w:t>
      </w:r>
      <w:r w:rsidR="00B2465F" w:rsidRPr="00980F74">
        <w:rPr>
          <w:szCs w:val="28"/>
        </w:rPr>
        <w:t xml:space="preserve"> Настоящее решение разместить на официальном сайте Администрации </w:t>
      </w:r>
      <w:r w:rsidRPr="00980F74">
        <w:rPr>
          <w:szCs w:val="28"/>
        </w:rPr>
        <w:t>се</w:t>
      </w:r>
      <w:r w:rsidR="00643C72">
        <w:rPr>
          <w:szCs w:val="28"/>
        </w:rPr>
        <w:t xml:space="preserve">льского поселения </w:t>
      </w:r>
      <w:r w:rsidR="00643C72" w:rsidRPr="00643C72">
        <w:rPr>
          <w:szCs w:val="28"/>
        </w:rPr>
        <w:t>Мурсалимкинский</w:t>
      </w:r>
      <w:r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>муниципального района Салаватский район Республики Башкортостан.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4</w:t>
      </w:r>
      <w:r w:rsidR="00B2465F" w:rsidRPr="00980F74">
        <w:rPr>
          <w:szCs w:val="28"/>
        </w:rPr>
        <w:t>. Данное решение вступает в силу со дня его принятия.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5</w:t>
      </w:r>
      <w:r w:rsidR="00B2465F" w:rsidRPr="00980F74">
        <w:rPr>
          <w:szCs w:val="28"/>
        </w:rPr>
        <w:t xml:space="preserve">. Контроль за исполнением настоящего решения возложить на постоянную комиссию Совета </w:t>
      </w:r>
      <w:r w:rsidR="00980F74" w:rsidRPr="00980F74">
        <w:rPr>
          <w:szCs w:val="28"/>
        </w:rPr>
        <w:t>се</w:t>
      </w:r>
      <w:r w:rsidR="00643C72">
        <w:rPr>
          <w:szCs w:val="28"/>
        </w:rPr>
        <w:t xml:space="preserve">льского поселения </w:t>
      </w:r>
      <w:r w:rsidR="00643C72" w:rsidRPr="00643C72">
        <w:rPr>
          <w:szCs w:val="28"/>
        </w:rPr>
        <w:t>Мурсалимкинский</w:t>
      </w:r>
      <w:r w:rsidR="00980F74"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>муниципального района  Салаватский район</w:t>
      </w:r>
      <w:r w:rsidR="00B2465F" w:rsidRPr="00980F74">
        <w:t xml:space="preserve"> </w:t>
      </w:r>
      <w:r w:rsidR="00B2465F" w:rsidRPr="00980F74">
        <w:rPr>
          <w:szCs w:val="28"/>
        </w:rPr>
        <w:t xml:space="preserve">Республики Башкортостан </w:t>
      </w:r>
      <w:r w:rsidR="00B2465F" w:rsidRPr="00643C72">
        <w:rPr>
          <w:szCs w:val="28"/>
        </w:rPr>
        <w:t xml:space="preserve">по бюджету, налогам и вопросам </w:t>
      </w:r>
      <w:r w:rsidR="00643C72">
        <w:rPr>
          <w:szCs w:val="28"/>
        </w:rPr>
        <w:t xml:space="preserve">муниципальной </w:t>
      </w:r>
      <w:r w:rsidR="00B2465F" w:rsidRPr="00643C72">
        <w:rPr>
          <w:szCs w:val="28"/>
        </w:rPr>
        <w:t>собственности</w:t>
      </w:r>
      <w:r w:rsidR="00B2465F" w:rsidRPr="00980F74">
        <w:rPr>
          <w:szCs w:val="28"/>
        </w:rPr>
        <w:t xml:space="preserve">. </w:t>
      </w:r>
    </w:p>
    <w:p w:rsidR="00B2465F" w:rsidRPr="00980F74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643C72" w:rsidRPr="00980F74" w:rsidRDefault="00643C72" w:rsidP="00B2465F">
      <w:pPr>
        <w:jc w:val="both"/>
        <w:rPr>
          <w:szCs w:val="28"/>
        </w:rPr>
      </w:pPr>
      <w:r>
        <w:rPr>
          <w:szCs w:val="28"/>
        </w:rPr>
        <w:t>Глава сельского поселения                                              А.Я. Садыков</w:t>
      </w:r>
    </w:p>
    <w:p w:rsidR="00B2465F" w:rsidRPr="00980F74" w:rsidRDefault="00B2465F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Default="00B83ABB" w:rsidP="00B2465F">
      <w:pPr>
        <w:jc w:val="both"/>
        <w:rPr>
          <w:szCs w:val="28"/>
        </w:rPr>
      </w:pPr>
    </w:p>
    <w:p w:rsidR="00643C72" w:rsidRDefault="00643C72" w:rsidP="00B2465F">
      <w:pPr>
        <w:jc w:val="both"/>
        <w:rPr>
          <w:szCs w:val="28"/>
        </w:rPr>
      </w:pPr>
    </w:p>
    <w:p w:rsidR="00643C72" w:rsidRPr="00980F74" w:rsidRDefault="00643C72" w:rsidP="00B2465F">
      <w:pPr>
        <w:jc w:val="both"/>
        <w:rPr>
          <w:szCs w:val="28"/>
        </w:rPr>
      </w:pPr>
      <w:bookmarkStart w:id="0" w:name="_GoBack"/>
      <w:bookmarkEnd w:id="0"/>
    </w:p>
    <w:p w:rsidR="00B83ABB" w:rsidRPr="00980F74" w:rsidRDefault="00643C72" w:rsidP="00B83ABB">
      <w:pPr>
        <w:ind w:firstLine="6096"/>
        <w:jc w:val="both"/>
        <w:rPr>
          <w:szCs w:val="28"/>
        </w:rPr>
      </w:pPr>
      <w:r>
        <w:rPr>
          <w:szCs w:val="28"/>
        </w:rPr>
        <w:lastRenderedPageBreak/>
        <w:t xml:space="preserve">           </w:t>
      </w:r>
      <w:r w:rsidR="00B83ABB" w:rsidRPr="00980F74">
        <w:rPr>
          <w:szCs w:val="28"/>
        </w:rPr>
        <w:t>Приложение</w:t>
      </w:r>
    </w:p>
    <w:p w:rsidR="00B83ABB" w:rsidRPr="00980F74" w:rsidRDefault="00643C72" w:rsidP="00B83ABB">
      <w:pPr>
        <w:ind w:firstLine="6096"/>
        <w:jc w:val="both"/>
        <w:rPr>
          <w:szCs w:val="28"/>
        </w:rPr>
      </w:pPr>
      <w:r>
        <w:rPr>
          <w:szCs w:val="28"/>
        </w:rPr>
        <w:t xml:space="preserve">         </w:t>
      </w:r>
      <w:r w:rsidR="00B83ABB" w:rsidRPr="00980F74">
        <w:rPr>
          <w:szCs w:val="28"/>
        </w:rPr>
        <w:t>к Решению Совета</w:t>
      </w:r>
      <w:r>
        <w:rPr>
          <w:szCs w:val="28"/>
        </w:rPr>
        <w:t xml:space="preserve">     </w:t>
      </w:r>
    </w:p>
    <w:p w:rsidR="00B83ABB" w:rsidRPr="00980F74" w:rsidRDefault="00643C72" w:rsidP="00B83ABB">
      <w:pPr>
        <w:ind w:firstLine="6096"/>
        <w:jc w:val="both"/>
        <w:rPr>
          <w:szCs w:val="28"/>
        </w:rPr>
      </w:pPr>
      <w:r>
        <w:rPr>
          <w:szCs w:val="28"/>
        </w:rPr>
        <w:t xml:space="preserve">         20.04.2020 года №143</w:t>
      </w:r>
    </w:p>
    <w:p w:rsidR="00B83ABB" w:rsidRPr="00980F74" w:rsidRDefault="00B83ABB" w:rsidP="00643C72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>се</w:t>
      </w:r>
      <w:r w:rsidR="00643C72">
        <w:rPr>
          <w:rFonts w:ascii="Times New Roman" w:hAnsi="Times New Roman" w:cs="Times New Roman"/>
          <w:b w:val="0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980F74" w:rsidRPr="00980F74">
        <w:rPr>
          <w:b w:val="0"/>
          <w:szCs w:val="28"/>
        </w:rPr>
        <w:t xml:space="preserve"> 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 Республики Башкортостан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списания движимого и недвижимого имущества, находящегося в собственности </w:t>
      </w:r>
      <w:r w:rsidR="00980F74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(далее - имущество) и закрепленного на праве хозяйственного ведения за муниципальными унитарными предприятиями муниципального района Салаватский район Республики Башкортостан (далее - муниципальные предприятия) или на праве оперативного управления за муниципальными учреждениями и казенными предприятиями муниципального района Салаватский район Республики Башкортостан (далее - муниципальные учреждения, казенные предприятия), а также имущества, составляющего казну </w:t>
      </w:r>
      <w:r w:rsidR="00643C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43C72" w:rsidRPr="00643C72">
        <w:t xml:space="preserve">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643C72">
        <w:rPr>
          <w:rFonts w:ascii="Times New Roman" w:hAnsi="Times New Roman" w:cs="Times New Roman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музейных предметов и коллекций, включенных в состав Музейного фонда Российской Федерации;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документов, включенных в Архивный фонд Российской Федерации и (или) Национальный библиотечный фонд.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1.2. Основные понятия, применяемые в настоящем Положении: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учредитель - муниципальный орган </w:t>
      </w:r>
      <w:r w:rsidR="00980F74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0F74" w:rsidRPr="00980F74">
        <w:rPr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осуществляющий функции и полномочия учредителя муниципального учреждения муниципального района Салаватский район Республики Башкортостан (для муниципальных учреждений и муниципальных предприятий).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2. Порядок принятия решений о списании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980F74">
        <w:rPr>
          <w:rFonts w:ascii="Times New Roman" w:hAnsi="Times New Roman" w:cs="Times New Roman"/>
          <w:sz w:val="28"/>
          <w:szCs w:val="28"/>
        </w:rPr>
        <w:lastRenderedPageBreak/>
        <w:t>2.1. Решение о списании имущества принимается в случаях, если: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80F74">
        <w:rPr>
          <w:rFonts w:ascii="Times New Roman" w:hAnsi="Times New Roman" w:cs="Times New Roman"/>
          <w:sz w:val="28"/>
          <w:szCs w:val="28"/>
        </w:rPr>
        <w:t>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отсутствия заявок на участие в торгах.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80F74">
        <w:rPr>
          <w:rFonts w:ascii="Times New Roman" w:hAnsi="Times New Roman" w:cs="Times New Roman"/>
          <w:sz w:val="28"/>
          <w:szCs w:val="28"/>
        </w:rPr>
        <w:t>2.2. Решение о списании движимого имущества (кроме особо ценного движимого имущества),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их учредителями, принимается с учетом стоимости его единицы в следующем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до 50 тыс. рублей - указанными учреждениями и предприятиями самостоятельно;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свыше 50 тыс. рублей   указанными учреждениями и предприятиями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4" w:name="P54"/>
      <w:bookmarkEnd w:id="4"/>
      <w:r w:rsidRPr="00980F74">
        <w:rPr>
          <w:rFonts w:ascii="Times New Roman" w:hAnsi="Times New Roman" w:cs="Times New Roman"/>
          <w:sz w:val="28"/>
          <w:szCs w:val="28"/>
        </w:rPr>
        <w:t>2.3. Решение о списании особо ценного движимого имущества, закрепленного на праве оперативного управления за муниципальными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2.4. Решение о списании движимого имущества, находящегося в хозяйственном ведении муниципальных предприятий, принимается этими предприятиями самостоятельно.</w:t>
      </w:r>
    </w:p>
    <w:p w:rsidR="00C8793E" w:rsidRPr="00980F74" w:rsidRDefault="00C8793E" w:rsidP="00C8793E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случае списания транспортных средств и сельскохозяйственной техники муниципальные предприятия уведомляют учредителя в течение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2.5. Решение о списании недвижимого имущества, находящегося у муниципальных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муниципальных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 Учредителя 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 </w:t>
      </w:r>
      <w:r w:rsidRPr="00980F74">
        <w:rPr>
          <w:rFonts w:ascii="Times New Roman" w:hAnsi="Times New Roman" w:cs="Times New Roman"/>
          <w:sz w:val="28"/>
          <w:szCs w:val="28"/>
        </w:rPr>
        <w:t>о списании указанного имущества в течение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980F74">
        <w:rPr>
          <w:rFonts w:ascii="Times New Roman" w:hAnsi="Times New Roman" w:cs="Times New Roman"/>
          <w:sz w:val="28"/>
          <w:szCs w:val="28"/>
        </w:rPr>
        <w:t>2.6. Решение о списании недвижимого имущества, закрепленного на 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средств, выделенных учредителем, принимается этими организациями по согласованию с их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lastRenderedPageBreak/>
        <w:t>2.7. Решение о списании недвижимого имущества,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учредителем.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2.8. Решение о списании имущества, составляющего казну муниципального района Салаватский район Республики Башкортостан, свободного от прав третьих лиц, принимается Администрацией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980F74">
        <w:rPr>
          <w:rFonts w:ascii="Times New Roman" w:hAnsi="Times New Roman" w:cs="Times New Roman"/>
          <w:sz w:val="28"/>
          <w:szCs w:val="28"/>
        </w:rPr>
        <w:t xml:space="preserve">2.9. Решение о списании имущества, составляющего казну муниципального района Салаватский район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Администрацией муниципального района Салаватский район Республики Башкортостан.  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3. Порядок списания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муниципальных учреждениях, муниципальных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3.2. В компетенцию комиссии входит: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на списание имущества утверждается руководителем организации.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3.3. Разборка и демонтаж имущества, указанного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4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до согласования его списания не допускаются.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Разборка, демонтаж и транспортировка в отношении: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недвижимого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643C72" w:rsidRPr="00643C72">
        <w:t xml:space="preserve"> </w:t>
      </w:r>
      <w:r w:rsidR="00643C72" w:rsidRPr="00643C72">
        <w:rPr>
          <w:rFonts w:ascii="Times New Roman" w:hAnsi="Times New Roman" w:cs="Times New Roman"/>
          <w:sz w:val="28"/>
          <w:szCs w:val="28"/>
        </w:rPr>
        <w:lastRenderedPageBreak/>
        <w:t>Мурсалимкинский</w:t>
      </w:r>
      <w:r w:rsidR="00643C72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</w:t>
      </w:r>
      <w:r w:rsidR="00643C72" w:rsidRPr="00643C72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 w:rsidRPr="00980F74">
        <w:rPr>
          <w:rFonts w:ascii="Times New Roman" w:hAnsi="Times New Roman" w:cs="Times New Roman"/>
          <w:sz w:val="28"/>
          <w:szCs w:val="28"/>
        </w:rPr>
        <w:t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4. Порядок согласования списания имущества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 w:rsidRPr="00980F74">
        <w:rPr>
          <w:rFonts w:ascii="Times New Roman" w:hAnsi="Times New Roman" w:cs="Times New Roman"/>
          <w:sz w:val="28"/>
          <w:szCs w:val="28"/>
        </w:rPr>
        <w:t xml:space="preserve">4.1. Организации, указанные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для согласования списания объектов основных средств представляют в учредителю следующие документы: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заявление о согласовании списания объектов основных средств;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в) заполненные в установленном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о списании объекта основных средств (оригинал, 2 экземпляра);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1"/>
      <w:bookmarkEnd w:id="9"/>
      <w:r w:rsidRPr="00980F74">
        <w:rPr>
          <w:rFonts w:ascii="Times New Roman" w:hAnsi="Times New Roman" w:cs="Times New Roman"/>
          <w:sz w:val="28"/>
          <w:szCs w:val="28"/>
        </w:rPr>
        <w:t>г) техническую документацию на объект недвижимости;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д) копию паспорта транспортного средства;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3"/>
      <w:bookmarkEnd w:id="10"/>
      <w:r w:rsidRPr="00980F74">
        <w:rPr>
          <w:rFonts w:ascii="Times New Roman" w:hAnsi="Times New Roman" w:cs="Times New Roman"/>
          <w:sz w:val="28"/>
          <w:szCs w:val="28"/>
        </w:rPr>
        <w:t>е) выписку из Единого государственного реестра недвижимости об объекте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з) справку о принадлежности недвижимого имущества к объектам культурного наследия, выданную уполномоченным органом по охране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объектов культурного наследия;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6"/>
      <w:bookmarkEnd w:id="11"/>
      <w:r w:rsidRPr="00980F74">
        <w:rPr>
          <w:rFonts w:ascii="Times New Roman" w:hAnsi="Times New Roman" w:cs="Times New Roman"/>
          <w:sz w:val="28"/>
          <w:szCs w:val="28"/>
        </w:rPr>
        <w:t xml:space="preserve"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7"/>
      <w:bookmarkEnd w:id="12"/>
      <w:r w:rsidRPr="00980F74">
        <w:rPr>
          <w:rFonts w:ascii="Times New Roman" w:hAnsi="Times New Roman" w:cs="Times New Roman"/>
          <w:sz w:val="28"/>
          <w:szCs w:val="28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49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 "в" пункта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информация о причинах, вызвавших аварию, а также о мерах, принятых в отношении виновных лиц;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справка о возмещении ущерба за счет виновных лиц или документы, подтверждающие невозможность такого возмещения.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3"/>
      <w:bookmarkEnd w:id="13"/>
      <w:r w:rsidRPr="00980F74">
        <w:rPr>
          <w:rFonts w:ascii="Times New Roman" w:hAnsi="Times New Roman" w:cs="Times New Roman"/>
          <w:sz w:val="28"/>
          <w:szCs w:val="28"/>
        </w:rPr>
        <w:t xml:space="preserve">4.2. Обращения организаций о согласовании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рассматриваются в течение 30 дней: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отношении движимого имущества – учредителем;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в отношении недвижимого имущества - Межведомственной комиссией по рассмотрению вопросов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(далее - межведомственная комиссия), создаваемой при Администрации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сельск</w:t>
      </w:r>
      <w:r w:rsidR="00643C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Состав и положение о межведомственной комиссии утверждаются Администрацией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643C72" w:rsidRPr="00643C72">
        <w:t xml:space="preserve">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</w:t>
      </w:r>
      <w:r w:rsidRPr="00980F7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4.3. К полномочиям межведомственной комиссии относится рассмотрение обращений организаций о согласовании списания недвижимого имущества, находящегося в собственности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По итогам рассмотрения указанных обращений межведомственная комиссия принимает одно из следующих решений: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рекомендовать учредителю согласовать списание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рекомендовать учредителю отказать в согласовании списания имущества.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4.4. Учредитель отказывает в согласовании списания имущества в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следующих случаях: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85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(за исключением документов, указанных в </w:t>
      </w:r>
      <w:hyperlink w:anchor="P9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подпунктах "г"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"е"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"и"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которые в случае непредставления учредитель запрашивает в порядке межведомственного взаимодействия самостоятельно);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истечение срока действия заключения, указанного в </w:t>
      </w:r>
      <w:hyperlink w:anchor="P97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подпункте "к"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подтверждают наличие оснований для списания имущества, предусмотренных </w:t>
      </w:r>
      <w:hyperlink w:anchor="P4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информацию о наличии обстоятельств, предусмотренных </w:t>
      </w:r>
      <w:hyperlink w:anchor="P8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3.4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имущество является объектом культурного наследия или объектом гражданской обороны;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существует наличие потребности в данном имуществе у муниципальных органов власти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муниципальных предприятий, муниципальных учреждений и казенных предприятий.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4.5. Уведомление о согласовании или отказе в согласовании списания имущества направляется учредителем обратившимся организациям в письменном виде по указанному в обращении адресу в течение указанного в </w:t>
      </w:r>
      <w:hyperlink w:anchor="P10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срока рассмотрения обращения.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4.6. Лица, виновные в уничтожении или повреждении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Башкортостан, несут ответственность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Суммы, поступившие в возмещение ущерба, причиненного муниципальному имуществу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вследствие действия (бездействия) или принятого решения виновных лиц, перечисляются в 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643C72" w:rsidRPr="00643C72">
        <w:t xml:space="preserve">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643C72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4.7. Денежные средства, вырученные организациями (за исключением муниципальных предприятий, муниципальных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4.8. После согласования списания объектов основных средств учредителем и отражения в актах о списании основных средств результатов списания объектов организации, списывающие муниципальное имущество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Башкортостан, в месячный срок представляют в  Комитет по управлению собственностью Минземимущества РБ по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 xml:space="preserve">Салаватскому району обновленные сведения в Реестр муниципального имущества муниципального района Салаватский район Республики Башкортостан в соответствии с </w:t>
      </w:r>
      <w:hyperlink r:id="rId8" w:history="1">
        <w:r w:rsidRPr="00980F7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утвержденным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5. Заключительные положения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5.1. При списании отдельных видов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>се</w:t>
      </w:r>
      <w:r w:rsidR="00643C72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43C72" w:rsidRPr="00643C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организации руководствуются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sectPr w:rsidR="00B2465F" w:rsidRPr="00980F74" w:rsidSect="00643C7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73"/>
    <w:rsid w:val="00021E0E"/>
    <w:rsid w:val="00036373"/>
    <w:rsid w:val="000E76A0"/>
    <w:rsid w:val="000F2C95"/>
    <w:rsid w:val="0014706E"/>
    <w:rsid w:val="00212ACC"/>
    <w:rsid w:val="00224201"/>
    <w:rsid w:val="0024029C"/>
    <w:rsid w:val="002C1A9F"/>
    <w:rsid w:val="002C72D3"/>
    <w:rsid w:val="002E2F66"/>
    <w:rsid w:val="00307243"/>
    <w:rsid w:val="003216CA"/>
    <w:rsid w:val="0032465D"/>
    <w:rsid w:val="003810D6"/>
    <w:rsid w:val="00381B1C"/>
    <w:rsid w:val="00394919"/>
    <w:rsid w:val="00401459"/>
    <w:rsid w:val="004507B6"/>
    <w:rsid w:val="004609DE"/>
    <w:rsid w:val="00471EA5"/>
    <w:rsid w:val="004F149D"/>
    <w:rsid w:val="00520B32"/>
    <w:rsid w:val="0058336F"/>
    <w:rsid w:val="00596644"/>
    <w:rsid w:val="006234E1"/>
    <w:rsid w:val="00643C72"/>
    <w:rsid w:val="007B1736"/>
    <w:rsid w:val="007C7564"/>
    <w:rsid w:val="007D06DB"/>
    <w:rsid w:val="0081159C"/>
    <w:rsid w:val="00862D8C"/>
    <w:rsid w:val="008E7A73"/>
    <w:rsid w:val="00933096"/>
    <w:rsid w:val="00980F74"/>
    <w:rsid w:val="009C0DE3"/>
    <w:rsid w:val="00A144EB"/>
    <w:rsid w:val="00A85B99"/>
    <w:rsid w:val="00AF2601"/>
    <w:rsid w:val="00B2465F"/>
    <w:rsid w:val="00B83ABB"/>
    <w:rsid w:val="00B8714A"/>
    <w:rsid w:val="00B960C6"/>
    <w:rsid w:val="00C47DE1"/>
    <w:rsid w:val="00C8793E"/>
    <w:rsid w:val="00D16284"/>
    <w:rsid w:val="00D6536E"/>
    <w:rsid w:val="00E9307F"/>
    <w:rsid w:val="00E94F7D"/>
    <w:rsid w:val="00E97C7F"/>
    <w:rsid w:val="00EA2B1B"/>
    <w:rsid w:val="00F14DD0"/>
    <w:rsid w:val="00F22DD4"/>
    <w:rsid w:val="00F96C25"/>
    <w:rsid w:val="00FE2DC7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54306950B21609868ABE08C138C2D0DCE886EE9BB6E8C8060CC832B6250614DC141844F0748B6A383735F3CEA91559966BBF5FA8B7328785489l964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6BE6-8B11-4A2B-BDAA-A51E34A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win-7</cp:lastModifiedBy>
  <cp:revision>15</cp:revision>
  <cp:lastPrinted>2020-04-21T09:10:00Z</cp:lastPrinted>
  <dcterms:created xsi:type="dcterms:W3CDTF">2020-04-07T05:50:00Z</dcterms:created>
  <dcterms:modified xsi:type="dcterms:W3CDTF">2020-04-21T09:11:00Z</dcterms:modified>
</cp:coreProperties>
</file>