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5E8" w:rsidRDefault="008955E8">
      <w:r>
        <w:rPr>
          <w:noProof/>
        </w:rPr>
        <w:drawing>
          <wp:anchor distT="0" distB="0" distL="114300" distR="114300" simplePos="0" relativeHeight="251658240" behindDoc="1" locked="0" layoutInCell="1" allowOverlap="1">
            <wp:simplePos x="0" y="0"/>
            <wp:positionH relativeFrom="column">
              <wp:posOffset>-1132647</wp:posOffset>
            </wp:positionH>
            <wp:positionV relativeFrom="paragraph">
              <wp:posOffset>-283237</wp:posOffset>
            </wp:positionV>
            <wp:extent cx="7787861" cy="10058400"/>
            <wp:effectExtent l="19050" t="0" r="3589" b="0"/>
            <wp:wrapNone/>
            <wp:docPr id="3" name="Рисунок 2" descr="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jpg"/>
                    <pic:cNvPicPr/>
                  </pic:nvPicPr>
                  <pic:blipFill>
                    <a:blip r:embed="rId5"/>
                    <a:stretch>
                      <a:fillRect/>
                    </a:stretch>
                  </pic:blipFill>
                  <pic:spPr>
                    <a:xfrm>
                      <a:off x="0" y="0"/>
                      <a:ext cx="7787861" cy="10058400"/>
                    </a:xfrm>
                    <a:prstGeom prst="rect">
                      <a:avLst/>
                    </a:prstGeom>
                  </pic:spPr>
                </pic:pic>
              </a:graphicData>
            </a:graphic>
          </wp:anchor>
        </w:drawing>
      </w:r>
    </w:p>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r>
        <w:rPr>
          <w:noProof/>
        </w:rPr>
        <w:lastRenderedPageBreak/>
        <w:drawing>
          <wp:anchor distT="0" distB="0" distL="114300" distR="114300" simplePos="0" relativeHeight="251659264" behindDoc="1" locked="0" layoutInCell="1" allowOverlap="1">
            <wp:simplePos x="0" y="0"/>
            <wp:positionH relativeFrom="column">
              <wp:posOffset>-1061086</wp:posOffset>
            </wp:positionH>
            <wp:positionV relativeFrom="paragraph">
              <wp:posOffset>-450215</wp:posOffset>
            </wp:positionV>
            <wp:extent cx="7635989" cy="9859617"/>
            <wp:effectExtent l="19050" t="0" r="3061" b="0"/>
            <wp:wrapNone/>
            <wp:docPr id="4" name="Рисунок 3" descr="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2.jpg"/>
                    <pic:cNvPicPr/>
                  </pic:nvPicPr>
                  <pic:blipFill>
                    <a:blip r:embed="rId6"/>
                    <a:stretch>
                      <a:fillRect/>
                    </a:stretch>
                  </pic:blipFill>
                  <pic:spPr>
                    <a:xfrm>
                      <a:off x="0" y="0"/>
                      <a:ext cx="7635989" cy="9859617"/>
                    </a:xfrm>
                    <a:prstGeom prst="rect">
                      <a:avLst/>
                    </a:prstGeom>
                  </pic:spPr>
                </pic:pic>
              </a:graphicData>
            </a:graphic>
          </wp:anchor>
        </w:drawing>
      </w:r>
    </w:p>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p w:rsidR="008955E8" w:rsidRDefault="008955E8"/>
    <w:tbl>
      <w:tblPr>
        <w:tblStyle w:val="a8"/>
        <w:tblW w:w="4961"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1"/>
      </w:tblGrid>
      <w:tr w:rsidR="008955E8" w:rsidRPr="00A82544" w:rsidTr="008955E8">
        <w:tc>
          <w:tcPr>
            <w:tcW w:w="4961" w:type="dxa"/>
          </w:tcPr>
          <w:p w:rsidR="008955E8" w:rsidRPr="00A82544" w:rsidRDefault="008955E8" w:rsidP="00297BC4">
            <w:pPr>
              <w:rPr>
                <w:rFonts w:ascii="Times New Roman" w:hAnsi="Times New Roman" w:cs="Times New Roman"/>
                <w:sz w:val="24"/>
                <w:szCs w:val="24"/>
              </w:rPr>
            </w:pPr>
            <w:r w:rsidRPr="00A82544">
              <w:rPr>
                <w:rFonts w:ascii="Times New Roman" w:hAnsi="Times New Roman" w:cs="Times New Roman"/>
                <w:sz w:val="24"/>
                <w:szCs w:val="24"/>
              </w:rPr>
              <w:lastRenderedPageBreak/>
              <w:t>Приложение №1</w:t>
            </w:r>
          </w:p>
          <w:p w:rsidR="008955E8" w:rsidRPr="00A82544" w:rsidRDefault="008955E8" w:rsidP="00297BC4">
            <w:pPr>
              <w:rPr>
                <w:rFonts w:ascii="Times New Roman" w:hAnsi="Times New Roman" w:cs="Times New Roman"/>
                <w:sz w:val="24"/>
                <w:szCs w:val="24"/>
              </w:rPr>
            </w:pPr>
            <w:r w:rsidRPr="00A82544">
              <w:rPr>
                <w:rFonts w:ascii="Times New Roman" w:hAnsi="Times New Roman" w:cs="Times New Roman"/>
                <w:sz w:val="24"/>
                <w:szCs w:val="24"/>
              </w:rPr>
              <w:t>к постановлению Администрации сельского поселения Мурсалимкинский сельсовет муниципального района Салаватский район Республики Башкортостан</w:t>
            </w:r>
          </w:p>
          <w:p w:rsidR="008955E8" w:rsidRPr="00A82544" w:rsidRDefault="008955E8" w:rsidP="00297BC4">
            <w:pPr>
              <w:rPr>
                <w:rFonts w:ascii="Times New Roman" w:hAnsi="Times New Roman" w:cs="Times New Roman"/>
                <w:sz w:val="24"/>
                <w:szCs w:val="24"/>
              </w:rPr>
            </w:pPr>
            <w:r w:rsidRPr="00A82544">
              <w:rPr>
                <w:rFonts w:ascii="Times New Roman" w:hAnsi="Times New Roman" w:cs="Times New Roman"/>
                <w:sz w:val="24"/>
                <w:szCs w:val="24"/>
              </w:rPr>
              <w:t>от 05.06.2025 г. № 35</w:t>
            </w:r>
          </w:p>
          <w:p w:rsidR="008955E8" w:rsidRPr="00A82544" w:rsidRDefault="008955E8" w:rsidP="00297BC4">
            <w:pPr>
              <w:jc w:val="both"/>
              <w:rPr>
                <w:rFonts w:ascii="Times New Roman" w:hAnsi="Times New Roman" w:cs="Times New Roman"/>
                <w:sz w:val="28"/>
              </w:rPr>
            </w:pPr>
          </w:p>
        </w:tc>
      </w:tr>
    </w:tbl>
    <w:p w:rsidR="003073FF" w:rsidRPr="00A82544" w:rsidRDefault="003073FF" w:rsidP="00BD0808">
      <w:pPr>
        <w:spacing w:after="0" w:line="240" w:lineRule="auto"/>
        <w:jc w:val="center"/>
        <w:rPr>
          <w:rFonts w:ascii="Times New Roman" w:hAnsi="Times New Roman" w:cs="Times New Roman"/>
          <w:b/>
          <w:sz w:val="27"/>
          <w:szCs w:val="27"/>
        </w:rPr>
      </w:pPr>
      <w:r w:rsidRPr="00A82544">
        <w:rPr>
          <w:rFonts w:ascii="Times New Roman" w:hAnsi="Times New Roman" w:cs="Times New Roman"/>
          <w:b/>
          <w:sz w:val="27"/>
          <w:szCs w:val="27"/>
        </w:rPr>
        <w:t>Положение</w:t>
      </w:r>
    </w:p>
    <w:p w:rsidR="00BD0808" w:rsidRPr="00A82544" w:rsidRDefault="003073FF" w:rsidP="00BD0808">
      <w:pPr>
        <w:spacing w:after="0" w:line="240" w:lineRule="auto"/>
        <w:jc w:val="center"/>
        <w:rPr>
          <w:rFonts w:ascii="Times New Roman" w:hAnsi="Times New Roman" w:cs="Times New Roman"/>
          <w:b/>
          <w:sz w:val="27"/>
          <w:szCs w:val="27"/>
        </w:rPr>
      </w:pPr>
      <w:r w:rsidRPr="00A82544">
        <w:rPr>
          <w:rFonts w:ascii="Times New Roman" w:hAnsi="Times New Roman" w:cs="Times New Roman"/>
          <w:b/>
          <w:sz w:val="27"/>
          <w:szCs w:val="27"/>
        </w:rPr>
        <w:t xml:space="preserve">о порядке размещения нестационарных торговых объектов (объектов по оказанию услуг) на территории сельского поселения </w:t>
      </w:r>
      <w:r w:rsidR="00BD0808" w:rsidRPr="00A82544">
        <w:rPr>
          <w:rFonts w:ascii="Times New Roman" w:hAnsi="Times New Roman" w:cs="Times New Roman"/>
          <w:b/>
          <w:sz w:val="27"/>
          <w:szCs w:val="27"/>
        </w:rPr>
        <w:t>Мурсалимкинский</w:t>
      </w:r>
      <w:r w:rsidRPr="00A82544">
        <w:rPr>
          <w:rFonts w:ascii="Times New Roman" w:hAnsi="Times New Roman" w:cs="Times New Roman"/>
          <w:b/>
          <w:sz w:val="27"/>
          <w:szCs w:val="27"/>
        </w:rPr>
        <w:t xml:space="preserve"> сельсовет муниципа</w:t>
      </w:r>
      <w:r w:rsidR="00BD0808" w:rsidRPr="00A82544">
        <w:rPr>
          <w:rFonts w:ascii="Times New Roman" w:hAnsi="Times New Roman" w:cs="Times New Roman"/>
          <w:b/>
          <w:sz w:val="27"/>
          <w:szCs w:val="27"/>
        </w:rPr>
        <w:t>льного района Салаватский район</w:t>
      </w:r>
    </w:p>
    <w:p w:rsidR="003073FF" w:rsidRPr="00A82544" w:rsidRDefault="003073FF" w:rsidP="00BD0808">
      <w:pPr>
        <w:spacing w:after="0" w:line="240" w:lineRule="auto"/>
        <w:jc w:val="center"/>
        <w:rPr>
          <w:rFonts w:ascii="Times New Roman" w:hAnsi="Times New Roman" w:cs="Times New Roman"/>
          <w:b/>
          <w:sz w:val="27"/>
          <w:szCs w:val="27"/>
        </w:rPr>
      </w:pPr>
      <w:r w:rsidRPr="00A82544">
        <w:rPr>
          <w:rFonts w:ascii="Times New Roman" w:hAnsi="Times New Roman" w:cs="Times New Roman"/>
          <w:b/>
          <w:sz w:val="27"/>
          <w:szCs w:val="27"/>
        </w:rPr>
        <w:t>Республики Башкортостан</w:t>
      </w:r>
    </w:p>
    <w:p w:rsidR="003073FF" w:rsidRPr="00A82544" w:rsidRDefault="003073FF" w:rsidP="003073FF">
      <w:pPr>
        <w:spacing w:after="0" w:line="240" w:lineRule="auto"/>
        <w:ind w:firstLine="709"/>
        <w:jc w:val="both"/>
        <w:rPr>
          <w:rFonts w:ascii="Times New Roman" w:hAnsi="Times New Roman" w:cs="Times New Roman"/>
          <w:sz w:val="27"/>
          <w:szCs w:val="27"/>
        </w:rPr>
      </w:pPr>
    </w:p>
    <w:p w:rsidR="003073FF" w:rsidRPr="00A82544" w:rsidRDefault="003073FF" w:rsidP="00A82544">
      <w:pPr>
        <w:pStyle w:val="a3"/>
        <w:widowControl w:val="0"/>
        <w:numPr>
          <w:ilvl w:val="0"/>
          <w:numId w:val="11"/>
        </w:numPr>
        <w:autoSpaceDE w:val="0"/>
        <w:autoSpaceDN w:val="0"/>
        <w:spacing w:after="0" w:line="240" w:lineRule="auto"/>
        <w:ind w:left="0" w:firstLine="0"/>
        <w:contextualSpacing w:val="0"/>
        <w:jc w:val="center"/>
        <w:rPr>
          <w:rFonts w:ascii="Times New Roman" w:hAnsi="Times New Roman" w:cs="Times New Roman"/>
          <w:b/>
          <w:sz w:val="27"/>
          <w:szCs w:val="27"/>
        </w:rPr>
      </w:pPr>
      <w:r w:rsidRPr="00A82544">
        <w:rPr>
          <w:rFonts w:ascii="Times New Roman" w:hAnsi="Times New Roman" w:cs="Times New Roman"/>
          <w:b/>
          <w:sz w:val="27"/>
          <w:szCs w:val="27"/>
        </w:rPr>
        <w:t>Общие положения</w:t>
      </w:r>
    </w:p>
    <w:p w:rsidR="003073FF" w:rsidRPr="00A82544" w:rsidRDefault="003073FF" w:rsidP="003073FF">
      <w:pPr>
        <w:spacing w:after="0" w:line="240" w:lineRule="auto"/>
        <w:ind w:firstLine="709"/>
        <w:jc w:val="both"/>
        <w:rPr>
          <w:rFonts w:ascii="Times New Roman" w:hAnsi="Times New Roman" w:cs="Times New Roman"/>
          <w:sz w:val="27"/>
          <w:szCs w:val="27"/>
        </w:rPr>
      </w:pP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 xml:space="preserve">Настоящее Положение разработано в соответствии с законодательством Российской Федерации и Республики Башкортостан, действующими отраслевыми нормами и правилами, регламентирующими порядок организации торговли (оказания услуг) населению, в целях дальнейшего упорядочения размещения нестационарных торговых объектов (объектов по оказанию услуг) на территории сельского поселения </w:t>
      </w:r>
      <w:r w:rsidR="00BD0808" w:rsidRPr="00A82544">
        <w:rPr>
          <w:rFonts w:ascii="Times New Roman" w:hAnsi="Times New Roman" w:cs="Times New Roman"/>
          <w:sz w:val="27"/>
          <w:szCs w:val="27"/>
        </w:rPr>
        <w:t>Мурсалимкинский</w:t>
      </w:r>
      <w:r w:rsidRPr="00A82544">
        <w:rPr>
          <w:rFonts w:ascii="Times New Roman" w:hAnsi="Times New Roman" w:cs="Times New Roman"/>
          <w:sz w:val="27"/>
          <w:szCs w:val="27"/>
        </w:rPr>
        <w:t xml:space="preserve"> сельсовет муниципального района Салаватский район Республики Башкортостан.</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Нестационарные торговые объекты не являются недвижимым имуществом, права на них не подлежат регистрации в Едином государственном реестре прав на недвижимое имущество и сделок с ним.</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 xml:space="preserve">В схему размещения могут вноситься изменения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w:t>
      </w:r>
      <w:proofErr w:type="gramStart"/>
      <w:r w:rsidRPr="00A82544">
        <w:rPr>
          <w:rFonts w:ascii="Times New Roman" w:hAnsi="Times New Roman" w:cs="Times New Roman"/>
          <w:sz w:val="27"/>
          <w:szCs w:val="27"/>
        </w:rPr>
        <w:t xml:space="preserve">Размещение нестационарных торговых объектов на землях или земельных участках, находящихся в государственной собственности Республики Башкортостан или муниципальной собственности, а также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 осуществляется на основании схемы и договора на размещение нестационарного торгового объекта, заключенного между Администрацией сельского поселения </w:t>
      </w:r>
      <w:r w:rsidR="00BD0808" w:rsidRPr="00A82544">
        <w:rPr>
          <w:rFonts w:ascii="Times New Roman" w:hAnsi="Times New Roman" w:cs="Times New Roman"/>
          <w:sz w:val="27"/>
          <w:szCs w:val="27"/>
        </w:rPr>
        <w:t>Мурсалимкинский</w:t>
      </w:r>
      <w:r w:rsidRPr="00A82544">
        <w:rPr>
          <w:rFonts w:ascii="Times New Roman" w:hAnsi="Times New Roman" w:cs="Times New Roman"/>
          <w:sz w:val="27"/>
          <w:szCs w:val="27"/>
        </w:rPr>
        <w:t xml:space="preserve"> сельсовет муниципального района Салаватский район</w:t>
      </w:r>
      <w:proofErr w:type="gramEnd"/>
      <w:r w:rsidRPr="00A82544">
        <w:rPr>
          <w:rFonts w:ascii="Times New Roman" w:hAnsi="Times New Roman" w:cs="Times New Roman"/>
          <w:sz w:val="27"/>
          <w:szCs w:val="27"/>
        </w:rPr>
        <w:t xml:space="preserve"> Республики Башкортостан и юридическим лицом или гражданином, занимающимся предпринимательской деятельностью в соответствии с федеральными законами.</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В схему по мере необходимости, но не чаще 8 раз в год могут быть внесены изменения в порядке, установленном для ее разработки и утверждения в соответствии с настоящим Положением.</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proofErr w:type="gramStart"/>
      <w:r w:rsidRPr="00A82544">
        <w:rPr>
          <w:rFonts w:ascii="Times New Roman" w:hAnsi="Times New Roman" w:cs="Times New Roman"/>
          <w:sz w:val="27"/>
          <w:szCs w:val="27"/>
        </w:rPr>
        <w:lastRenderedPageBreak/>
        <w:t>Включение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осуществляется в соответствии с Постановлением Правительства Российской Федерации от 29 сентября 2010 года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roofErr w:type="gramEnd"/>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 xml:space="preserve">Размещение нестационарных торговых объектов на территории сельского поселения </w:t>
      </w:r>
      <w:r w:rsidR="00BD0808" w:rsidRPr="00A82544">
        <w:rPr>
          <w:rFonts w:ascii="Times New Roman" w:hAnsi="Times New Roman" w:cs="Times New Roman"/>
          <w:sz w:val="27"/>
          <w:szCs w:val="27"/>
        </w:rPr>
        <w:t>Мурсалимкинский</w:t>
      </w:r>
      <w:r w:rsidRPr="00A82544">
        <w:rPr>
          <w:rFonts w:ascii="Times New Roman" w:hAnsi="Times New Roman" w:cs="Times New Roman"/>
          <w:sz w:val="27"/>
          <w:szCs w:val="27"/>
        </w:rPr>
        <w:t xml:space="preserve"> сельсовет Республики Башкортостан должно соответствовать градостроительным, строительным, архитектурным, пожарным, санитарным нормам, правилам и нормативам, а также правилам благоустройства.</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Разработка схемы осуществляется в целях:</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создания условий для улучшения организации и качества торгового обслуживания населения и обеспечения доступности товаров для населения;</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установления единого порядка размещения нестационарных торговых объектов на территории Республики Башкортостан;</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достижения нормативов минимальной обеспеченности населения площадью торговых объектов, установленных Правительством Республики Башкортостан;</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формирования современной торговой инфраструктуры;</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оказания поддержки сельскохозяйственным товаропроизводителям, в том числе осуществляющим деятельность на территории Республики Башкортостан.</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proofErr w:type="gramStart"/>
      <w:r w:rsidRPr="00A82544">
        <w:rPr>
          <w:rFonts w:ascii="Times New Roman" w:hAnsi="Times New Roman" w:cs="Times New Roman"/>
          <w:sz w:val="27"/>
          <w:szCs w:val="27"/>
        </w:rPr>
        <w:t>Требования, предусмотренные настоящим Положением, не распространяются на отношения, связанные с размещением нестационарных торговых объектов, находящихся на ярмарках, в пределах территорий розничных рынков, в зданиях, строениях и сооружениях, а также на нестационарные торговые объекты, размещаемые при проведении праздничных, культурно-массовых, спортивно-зрелищных и иных массовых мероприятий, имеющих краткосрочный характер, нестационарные торговые объекты, в которых оказываются бытовые услуги, а также летние кафе и летние</w:t>
      </w:r>
      <w:proofErr w:type="gramEnd"/>
      <w:r w:rsidRPr="00A82544">
        <w:rPr>
          <w:rFonts w:ascii="Times New Roman" w:hAnsi="Times New Roman" w:cs="Times New Roman"/>
          <w:sz w:val="27"/>
          <w:szCs w:val="27"/>
        </w:rPr>
        <w:t xml:space="preserve"> террасы.</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Утверждение схем, внесение в них изменений не являются основаниями для пересмотра мест размещения нестационарных торговых объектов, строительство, реконструкция или эксплуатация которых были начаты в соответствии с правоустанавливающими документами до утверждения указанных схем.</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Включение в схему нестационарных торговых объектов, расположенных на земельных участках, находящихся в собственности Республики Башкортостан, государственная собственность на которые не разграничена, осуществляется по согласованию с органом исполнительной власти Республики Башкортостан, осуществляющим полномочия собственника имущества.</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Схема разрабатывается и утверждается органами местного самоуправления Республики Башкортостан на срок не менее 5 лет.</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Для целей настоящего Положения используются следующие понятия:</w:t>
      </w:r>
    </w:p>
    <w:p w:rsidR="003073FF" w:rsidRPr="00A82544" w:rsidRDefault="003073FF" w:rsidP="003073FF">
      <w:pPr>
        <w:spacing w:after="0" w:line="240" w:lineRule="auto"/>
        <w:ind w:firstLine="709"/>
        <w:jc w:val="both"/>
        <w:rPr>
          <w:rFonts w:ascii="Times New Roman" w:hAnsi="Times New Roman" w:cs="Times New Roman"/>
          <w:sz w:val="27"/>
          <w:szCs w:val="27"/>
        </w:rPr>
      </w:pPr>
      <w:proofErr w:type="gramStart"/>
      <w:r w:rsidRPr="00A82544">
        <w:rPr>
          <w:rFonts w:ascii="Times New Roman" w:hAnsi="Times New Roman" w:cs="Times New Roman"/>
          <w:sz w:val="27"/>
          <w:szCs w:val="27"/>
        </w:rPr>
        <w:t xml:space="preserve">схема - документ, состоящий из текстовой (в виде таблицы) и графической частей, содержащий информацию об адресных ориентирах, виде, </w:t>
      </w:r>
      <w:r w:rsidRPr="00A82544">
        <w:rPr>
          <w:rFonts w:ascii="Times New Roman" w:hAnsi="Times New Roman" w:cs="Times New Roman"/>
          <w:sz w:val="27"/>
          <w:szCs w:val="27"/>
        </w:rPr>
        <w:lastRenderedPageBreak/>
        <w:t>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малого и среднего предпринимательства;</w:t>
      </w:r>
      <w:proofErr w:type="gramEnd"/>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специализация нестационарного торгового объекта - торговая деятельность, при которой 80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К нестационарным торговым объектам, включаемым в схему, относятся:</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павильон - оборудованное строение, имеющее торговый зал и помещения для хранения товарного запаса, рассчитанное на одно или несколько рабочих мест;</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киоск -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 xml:space="preserve">торговая галерея - выполненный в едином </w:t>
      </w:r>
      <w:proofErr w:type="gramStart"/>
      <w:r w:rsidRPr="00A82544">
        <w:rPr>
          <w:rFonts w:ascii="Times New Roman" w:hAnsi="Times New Roman" w:cs="Times New Roman"/>
          <w:sz w:val="27"/>
          <w:szCs w:val="27"/>
        </w:rPr>
        <w:t>архитектурном решении</w:t>
      </w:r>
      <w:proofErr w:type="gramEnd"/>
      <w:r w:rsidRPr="00A82544">
        <w:rPr>
          <w:rFonts w:ascii="Times New Roman" w:hAnsi="Times New Roman" w:cs="Times New Roman"/>
          <w:sz w:val="27"/>
          <w:szCs w:val="27"/>
        </w:rPr>
        <w:t xml:space="preserve"> нестационарный торговый объект, состоящий из нескольких, но не более 5 (в одном ряду), специализированных павильонов или киосков, симметрично расположенных друг напротив друга, при условии соблюдения беспрепятственного прохода для покупателей, объединенных под единой </w:t>
      </w:r>
      <w:proofErr w:type="spellStart"/>
      <w:r w:rsidRPr="00A82544">
        <w:rPr>
          <w:rFonts w:ascii="Times New Roman" w:hAnsi="Times New Roman" w:cs="Times New Roman"/>
          <w:sz w:val="27"/>
          <w:szCs w:val="27"/>
        </w:rPr>
        <w:t>светопрозрачной</w:t>
      </w:r>
      <w:proofErr w:type="spellEnd"/>
      <w:r w:rsidRPr="00A82544">
        <w:rPr>
          <w:rFonts w:ascii="Times New Roman" w:hAnsi="Times New Roman" w:cs="Times New Roman"/>
          <w:sz w:val="27"/>
          <w:szCs w:val="27"/>
        </w:rPr>
        <w:t xml:space="preserve"> кровлей;</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пункт быстрого питания - 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торгово-остановочный комплекс - нестационарный торговый объект, размещенный на остановочных пунктах общественного пассажирского транспорта, состоящий из одного или двух павильонов, или киосков, конструктивно объединенных и выполненных в едином архитектурно-</w:t>
      </w:r>
      <w:proofErr w:type="gramStart"/>
      <w:r w:rsidRPr="00A82544">
        <w:rPr>
          <w:rFonts w:ascii="Times New Roman" w:hAnsi="Times New Roman" w:cs="Times New Roman"/>
          <w:sz w:val="27"/>
          <w:szCs w:val="27"/>
        </w:rPr>
        <w:t>художественном решении</w:t>
      </w:r>
      <w:proofErr w:type="gramEnd"/>
      <w:r w:rsidRPr="00A82544">
        <w:rPr>
          <w:rFonts w:ascii="Times New Roman" w:hAnsi="Times New Roman" w:cs="Times New Roman"/>
          <w:sz w:val="27"/>
          <w:szCs w:val="27"/>
        </w:rPr>
        <w:t xml:space="preserve"> с остановочным навесом. При этом остановочный навес может представлять собой как открытую, так и закрытую конструкцию;</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 xml:space="preserve">объект мобильной торговли - нестационарный торговый объект, представляющий специализированный </w:t>
      </w:r>
      <w:proofErr w:type="spellStart"/>
      <w:r w:rsidRPr="00A82544">
        <w:rPr>
          <w:rFonts w:ascii="Times New Roman" w:hAnsi="Times New Roman" w:cs="Times New Roman"/>
          <w:sz w:val="27"/>
          <w:szCs w:val="27"/>
        </w:rPr>
        <w:t>автомагазин</w:t>
      </w:r>
      <w:proofErr w:type="spellEnd"/>
      <w:r w:rsidRPr="00A82544">
        <w:rPr>
          <w:rFonts w:ascii="Times New Roman" w:hAnsi="Times New Roman" w:cs="Times New Roman"/>
          <w:sz w:val="27"/>
          <w:szCs w:val="27"/>
        </w:rPr>
        <w:t>, автолавку или иное специально оборудованное для осуществления розничной торговли транспортное средство;</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мобильный торговый объект - категория нестационарных торговых объектов, к которой относятся передвижные сооружения, мобильные пункты быстрого питания, объекты мобильной торговли;</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мобильный пункт быстрого питания - передвижное сооружение (</w:t>
      </w:r>
      <w:proofErr w:type="spellStart"/>
      <w:r w:rsidRPr="00A82544">
        <w:rPr>
          <w:rFonts w:ascii="Times New Roman" w:hAnsi="Times New Roman" w:cs="Times New Roman"/>
          <w:sz w:val="27"/>
          <w:szCs w:val="27"/>
        </w:rPr>
        <w:t>автокафе</w:t>
      </w:r>
      <w:proofErr w:type="spellEnd"/>
      <w:r w:rsidRPr="00A82544">
        <w:rPr>
          <w:rFonts w:ascii="Times New Roman" w:hAnsi="Times New Roman" w:cs="Times New Roman"/>
          <w:sz w:val="27"/>
          <w:szCs w:val="27"/>
        </w:rPr>
        <w:t>),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lastRenderedPageBreak/>
        <w:t>выносное холодильное оборудование - холодильник для хранения и реализации прохладительных напитков и мороженого;</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торговый автомат (</w:t>
      </w:r>
      <w:proofErr w:type="spellStart"/>
      <w:r w:rsidRPr="00A82544">
        <w:rPr>
          <w:rFonts w:ascii="Times New Roman" w:hAnsi="Times New Roman" w:cs="Times New Roman"/>
          <w:sz w:val="27"/>
          <w:szCs w:val="27"/>
        </w:rPr>
        <w:t>вендинговый</w:t>
      </w:r>
      <w:proofErr w:type="spellEnd"/>
      <w:r w:rsidRPr="00A82544">
        <w:rPr>
          <w:rFonts w:ascii="Times New Roman" w:hAnsi="Times New Roman" w:cs="Times New Roman"/>
          <w:sz w:val="27"/>
          <w:szCs w:val="27"/>
        </w:rPr>
        <w:t xml:space="preserve"> автомат) - временное техническое устройство, сооружение или конструкция, осуществляющее продажу штучного товара, оплата и выдача которого осуществляются с помощью технических приспособлений, не требующих непосредственного участия продавца;</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передвижное сооружение - изотермические емкости и цистерны, прочие передвижные объекты;</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 xml:space="preserve">объект мобильной, развозной торговли - нестационарный торговый объект, представляющий специализированный </w:t>
      </w:r>
      <w:proofErr w:type="spellStart"/>
      <w:r w:rsidRPr="00A82544">
        <w:rPr>
          <w:rFonts w:ascii="Times New Roman" w:hAnsi="Times New Roman" w:cs="Times New Roman"/>
          <w:sz w:val="27"/>
          <w:szCs w:val="27"/>
        </w:rPr>
        <w:t>автомагазин</w:t>
      </w:r>
      <w:proofErr w:type="spellEnd"/>
      <w:r w:rsidRPr="00A82544">
        <w:rPr>
          <w:rFonts w:ascii="Times New Roman" w:hAnsi="Times New Roman" w:cs="Times New Roman"/>
          <w:sz w:val="27"/>
          <w:szCs w:val="27"/>
        </w:rPr>
        <w:t>, автолавку или иное специально оборудованное для осуществления розничной торговли транспортное средство;</w:t>
      </w:r>
    </w:p>
    <w:p w:rsidR="003073FF" w:rsidRPr="00A82544" w:rsidRDefault="003073FF" w:rsidP="003073FF">
      <w:pPr>
        <w:spacing w:after="0" w:line="240" w:lineRule="auto"/>
        <w:ind w:firstLine="709"/>
        <w:jc w:val="both"/>
        <w:rPr>
          <w:rFonts w:ascii="Times New Roman" w:hAnsi="Times New Roman" w:cs="Times New Roman"/>
          <w:sz w:val="27"/>
          <w:szCs w:val="27"/>
        </w:rPr>
      </w:pPr>
      <w:proofErr w:type="gramStart"/>
      <w:r w:rsidRPr="00A82544">
        <w:rPr>
          <w:rFonts w:ascii="Times New Roman" w:hAnsi="Times New Roman" w:cs="Times New Roman"/>
          <w:sz w:val="27"/>
          <w:szCs w:val="27"/>
        </w:rPr>
        <w:t>специализированный нестационарный торговый объект для организации реализации сельскохозяйственной продукции и продуктов питания (далее - специализированный нестационарный торговый объект) - выполненный в едином архитектурном решении нестационарный торговый объект, состоящий из соединенных между собой нестационарных торговых объектов, находящихся под общим управлением, общей площадью не более 150 кв. м, в которых не менее 80 процентов торговых мест от их общего количества предназначено для осуществления продажи</w:t>
      </w:r>
      <w:proofErr w:type="gramEnd"/>
      <w:r w:rsidRPr="00A82544">
        <w:rPr>
          <w:rFonts w:ascii="Times New Roman" w:hAnsi="Times New Roman" w:cs="Times New Roman"/>
          <w:sz w:val="27"/>
          <w:szCs w:val="27"/>
        </w:rPr>
        <w:t xml:space="preserve"> товаров сельскохозяйственными товаропроизводителями (включая личные подсобные хозяйства), организациями и индивидуальными предпринимателями, осуществляющими деятельность на территории Республики Башкортостан;</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сельскохозяйственный товаропроизводитель - определение используется в значении, установленном Федеральным законом от 29 декабря 2006 года №264-ФЗ "О развитии сельского хозяйства";</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объект реализации сельскохозяйственных и декоративных кустов и растений - нестационарный торговый объект, представляющий собой киоск или павильон со специально оборудованной временной конструкцией в виде обособленной огороженной открытой площадки (экспозиционной и (или) декоративной), предназначенный для реализации сельскохозяйственных и декоративных деревьев, кустов, растений и сопутствующих товаров;</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нестационарный торговый объект сезонного размещения - нестационарный торговый объект, размещаемый на определенный сезон, период (периоды) в году;</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 xml:space="preserve">нестационарный объект реализации питьевой воды в розлив - объект реализации питьевой воды в розлив, представляющий собой временное </w:t>
      </w:r>
      <w:r w:rsidRPr="00A82544">
        <w:rPr>
          <w:rFonts w:ascii="Times New Roman" w:hAnsi="Times New Roman" w:cs="Times New Roman"/>
          <w:sz w:val="27"/>
          <w:szCs w:val="27"/>
        </w:rPr>
        <w:lastRenderedPageBreak/>
        <w:t>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3073FF" w:rsidRPr="00A82544" w:rsidRDefault="003073FF" w:rsidP="003073FF">
      <w:pPr>
        <w:spacing w:after="0" w:line="240" w:lineRule="auto"/>
        <w:ind w:firstLine="709"/>
        <w:jc w:val="both"/>
        <w:rPr>
          <w:rFonts w:ascii="Times New Roman" w:hAnsi="Times New Roman" w:cs="Times New Roman"/>
          <w:sz w:val="27"/>
          <w:szCs w:val="27"/>
        </w:rPr>
      </w:pPr>
      <w:proofErr w:type="gramStart"/>
      <w:r w:rsidRPr="00A82544">
        <w:rPr>
          <w:rFonts w:ascii="Times New Roman" w:hAnsi="Times New Roman" w:cs="Times New Roman"/>
          <w:sz w:val="27"/>
          <w:szCs w:val="27"/>
        </w:rPr>
        <w:t xml:space="preserve">объект реализации питьевой воды в розлив - нестационарный торговый объект (специализированное оборудование) по реализации питьевой воды в розлив в тару потребителей с использованием автоматизированных систем расчетов и метода самообслуживания или с участием продавца, проточный </w:t>
      </w:r>
      <w:proofErr w:type="spellStart"/>
      <w:r w:rsidRPr="00A82544">
        <w:rPr>
          <w:rFonts w:ascii="Times New Roman" w:hAnsi="Times New Roman" w:cs="Times New Roman"/>
          <w:sz w:val="27"/>
          <w:szCs w:val="27"/>
        </w:rPr>
        <w:t>кулер</w:t>
      </w:r>
      <w:proofErr w:type="spellEnd"/>
      <w:r w:rsidRPr="00A82544">
        <w:rPr>
          <w:rFonts w:ascii="Times New Roman" w:hAnsi="Times New Roman" w:cs="Times New Roman"/>
          <w:sz w:val="27"/>
          <w:szCs w:val="27"/>
        </w:rPr>
        <w:t xml:space="preserve"> (</w:t>
      </w:r>
      <w:proofErr w:type="spellStart"/>
      <w:r w:rsidRPr="00A82544">
        <w:rPr>
          <w:rFonts w:ascii="Times New Roman" w:hAnsi="Times New Roman" w:cs="Times New Roman"/>
          <w:sz w:val="27"/>
          <w:szCs w:val="27"/>
        </w:rPr>
        <w:t>пурифайер</w:t>
      </w:r>
      <w:proofErr w:type="spellEnd"/>
      <w:r w:rsidRPr="00A82544">
        <w:rPr>
          <w:rFonts w:ascii="Times New Roman" w:hAnsi="Times New Roman" w:cs="Times New Roman"/>
          <w:sz w:val="27"/>
          <w:szCs w:val="27"/>
        </w:rPr>
        <w:t>) с системой водоподготовки, емкость, устанавливаемые самостоятельно или на стенах жилых и общественных зданий, система водоподготовки, подключаемая к централизованным источникам водоснабжения, с последующим обеспечением точкой розлива;</w:t>
      </w:r>
      <w:proofErr w:type="gramEnd"/>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 xml:space="preserve">модульная </w:t>
      </w:r>
      <w:proofErr w:type="spellStart"/>
      <w:r w:rsidRPr="00A82544">
        <w:rPr>
          <w:rFonts w:ascii="Times New Roman" w:hAnsi="Times New Roman" w:cs="Times New Roman"/>
          <w:sz w:val="27"/>
          <w:szCs w:val="27"/>
        </w:rPr>
        <w:t>электро-топливная</w:t>
      </w:r>
      <w:proofErr w:type="spellEnd"/>
      <w:r w:rsidRPr="00A82544">
        <w:rPr>
          <w:rFonts w:ascii="Times New Roman" w:hAnsi="Times New Roman" w:cs="Times New Roman"/>
          <w:sz w:val="27"/>
          <w:szCs w:val="27"/>
        </w:rPr>
        <w:t xml:space="preserve"> автозаправочная станция - автозаправочная станция, технологическая система которой предусматривает зарядные станции для зарядки электромобилей, заправку транспортных средств жидким топливом и характеризуется надземным расположением резервуаров, выполненная как единое заводское изделие, не связанное прочно с земельным участком, для размещения которого не требуется разрешение на строительство.</w:t>
      </w:r>
    </w:p>
    <w:p w:rsidR="003073FF" w:rsidRPr="00A82544" w:rsidRDefault="003073FF" w:rsidP="003073FF">
      <w:pPr>
        <w:spacing w:after="0" w:line="240" w:lineRule="auto"/>
        <w:ind w:firstLine="709"/>
        <w:jc w:val="both"/>
        <w:rPr>
          <w:rFonts w:ascii="Times New Roman" w:hAnsi="Times New Roman" w:cs="Times New Roman"/>
          <w:sz w:val="27"/>
          <w:szCs w:val="27"/>
        </w:rPr>
      </w:pPr>
    </w:p>
    <w:p w:rsidR="003073FF" w:rsidRPr="00A82544" w:rsidRDefault="003073FF" w:rsidP="003073FF">
      <w:pPr>
        <w:pStyle w:val="a3"/>
        <w:widowControl w:val="0"/>
        <w:numPr>
          <w:ilvl w:val="0"/>
          <w:numId w:val="11"/>
        </w:numPr>
        <w:autoSpaceDE w:val="0"/>
        <w:autoSpaceDN w:val="0"/>
        <w:spacing w:after="0" w:line="240" w:lineRule="auto"/>
        <w:ind w:left="0" w:firstLine="709"/>
        <w:contextualSpacing w:val="0"/>
        <w:jc w:val="center"/>
        <w:rPr>
          <w:rFonts w:ascii="Times New Roman" w:hAnsi="Times New Roman" w:cs="Times New Roman"/>
          <w:b/>
          <w:sz w:val="27"/>
          <w:szCs w:val="27"/>
        </w:rPr>
      </w:pPr>
      <w:r w:rsidRPr="00A82544">
        <w:rPr>
          <w:rFonts w:ascii="Times New Roman" w:hAnsi="Times New Roman" w:cs="Times New Roman"/>
          <w:b/>
          <w:sz w:val="27"/>
          <w:szCs w:val="27"/>
        </w:rPr>
        <w:t>Требования к разработке схемы</w:t>
      </w:r>
    </w:p>
    <w:p w:rsidR="003073FF" w:rsidRPr="00A82544" w:rsidRDefault="003073FF" w:rsidP="003073FF">
      <w:pPr>
        <w:spacing w:after="0" w:line="240" w:lineRule="auto"/>
        <w:ind w:firstLine="709"/>
        <w:jc w:val="both"/>
        <w:rPr>
          <w:rFonts w:ascii="Times New Roman" w:hAnsi="Times New Roman" w:cs="Times New Roman"/>
          <w:sz w:val="27"/>
          <w:szCs w:val="27"/>
        </w:rPr>
      </w:pP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При разработке схемы учитываются:</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особенности развития торговой деятельности на территории Республики Башкортостан;</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необходимость размещения не менее чем 60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обеспечение беспрепятственного развития улично-дорожной сети;</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обеспечение беспрепятственного движения транспорта и пешеходов;</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специализация нестационарного торгового объекта;</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обеспечение соответствия деятельности нестационарных торговых объектов санитарным, противопожарным, экологическим требованиям, правилам продажи отдельных видов товаров, требованиям безопасности для жизни и здоровья людей, а также правилам благоустройства.</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Схема разрабатывается на основании результатов инвентаризации фактически размещенных нестационарных торговых объектов и мест их размещения, а также потребности в торговых объектах на соответствующей территории.</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 xml:space="preserve">По итогам инвентаризации проводятся оценка потребности в нестационарных торговых объектах по видам и специализациям и </w:t>
      </w:r>
      <w:proofErr w:type="gramStart"/>
      <w:r w:rsidRPr="00A82544">
        <w:rPr>
          <w:rFonts w:ascii="Times New Roman" w:hAnsi="Times New Roman" w:cs="Times New Roman"/>
          <w:sz w:val="27"/>
          <w:szCs w:val="27"/>
        </w:rPr>
        <w:t>мероприятия</w:t>
      </w:r>
      <w:proofErr w:type="gramEnd"/>
      <w:r w:rsidRPr="00A82544">
        <w:rPr>
          <w:rFonts w:ascii="Times New Roman" w:hAnsi="Times New Roman" w:cs="Times New Roman"/>
          <w:sz w:val="27"/>
          <w:szCs w:val="27"/>
        </w:rPr>
        <w:t xml:space="preserve"> по рациональному размещению нестационарных объектов исходя из местных особенностей, обеспечения территориальной доступности, уровня развития </w:t>
      </w:r>
      <w:proofErr w:type="spellStart"/>
      <w:r w:rsidRPr="00A82544">
        <w:rPr>
          <w:rFonts w:ascii="Times New Roman" w:hAnsi="Times New Roman" w:cs="Times New Roman"/>
          <w:sz w:val="27"/>
          <w:szCs w:val="27"/>
        </w:rPr>
        <w:t>товаропроизводящей</w:t>
      </w:r>
      <w:proofErr w:type="spellEnd"/>
      <w:r w:rsidRPr="00A82544">
        <w:rPr>
          <w:rFonts w:ascii="Times New Roman" w:hAnsi="Times New Roman" w:cs="Times New Roman"/>
          <w:sz w:val="27"/>
          <w:szCs w:val="27"/>
        </w:rPr>
        <w:t xml:space="preserve"> инфраструктуры, при котором во всех населенных пунктах обеспечивается возможность приобретения населением товаров.</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 xml:space="preserve">Размещение нестационарных торговых объектов должно обеспечивать свободное движение пешеходов, доступ потребителей к торговым объектам с соблюдением требований </w:t>
      </w:r>
      <w:proofErr w:type="spellStart"/>
      <w:r w:rsidRPr="00A82544">
        <w:rPr>
          <w:rFonts w:ascii="Times New Roman" w:hAnsi="Times New Roman" w:cs="Times New Roman"/>
          <w:sz w:val="27"/>
          <w:szCs w:val="27"/>
        </w:rPr>
        <w:t>безбарьерной</w:t>
      </w:r>
      <w:proofErr w:type="spellEnd"/>
      <w:r w:rsidRPr="00A82544">
        <w:rPr>
          <w:rFonts w:ascii="Times New Roman" w:hAnsi="Times New Roman" w:cs="Times New Roman"/>
          <w:sz w:val="27"/>
          <w:szCs w:val="27"/>
        </w:rPr>
        <w:t xml:space="preserve"> среды жизнедеятельности для инвалидов и иных </w:t>
      </w:r>
      <w:proofErr w:type="spellStart"/>
      <w:r w:rsidRPr="00A82544">
        <w:rPr>
          <w:rFonts w:ascii="Times New Roman" w:hAnsi="Times New Roman" w:cs="Times New Roman"/>
          <w:sz w:val="27"/>
          <w:szCs w:val="27"/>
        </w:rPr>
        <w:t>маломобильных</w:t>
      </w:r>
      <w:proofErr w:type="spellEnd"/>
      <w:r w:rsidRPr="00A82544">
        <w:rPr>
          <w:rFonts w:ascii="Times New Roman" w:hAnsi="Times New Roman" w:cs="Times New Roman"/>
          <w:sz w:val="27"/>
          <w:szCs w:val="27"/>
        </w:rPr>
        <w:t xml:space="preserve"> групп населения, беспрепятственный </w:t>
      </w:r>
      <w:r w:rsidRPr="00A82544">
        <w:rPr>
          <w:rFonts w:ascii="Times New Roman" w:hAnsi="Times New Roman" w:cs="Times New Roman"/>
          <w:sz w:val="27"/>
          <w:szCs w:val="27"/>
        </w:rPr>
        <w:lastRenderedPageBreak/>
        <w:t>подъезд спецтранспорта при чрезвычайных ситуациях.</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Внешний вид нестационарных торговых объектов должен соответствовать внешнему архитектурному облику сложившейся застройки муниципального образования.</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Не допускается размещение нестационарных торговых объектов:</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в местах, не включенных в схему;</w:t>
      </w:r>
    </w:p>
    <w:p w:rsidR="003073FF" w:rsidRPr="00A82544" w:rsidRDefault="003073FF" w:rsidP="003073FF">
      <w:pPr>
        <w:spacing w:after="0" w:line="240" w:lineRule="auto"/>
        <w:ind w:firstLine="709"/>
        <w:jc w:val="both"/>
        <w:rPr>
          <w:rFonts w:ascii="Times New Roman" w:hAnsi="Times New Roman" w:cs="Times New Roman"/>
          <w:sz w:val="27"/>
          <w:szCs w:val="27"/>
        </w:rPr>
      </w:pPr>
      <w:proofErr w:type="gramStart"/>
      <w:r w:rsidRPr="00A82544">
        <w:rPr>
          <w:rFonts w:ascii="Times New Roman" w:hAnsi="Times New Roman" w:cs="Times New Roman"/>
          <w:sz w:val="27"/>
          <w:szCs w:val="27"/>
        </w:rPr>
        <w:t>в арках зданий, на газонах (без устройства специального настила), площадках (детских, для отдыха, спортивных, транспортных стоянках), в охранной зоне водопроводных, канализационных, электрических, кабельных сетей связи, трубопроводов, ближе 20 метров от вентиляционных шахт, ближе 20 метров от окон жилых помещений, за исключением объектов сезонной торговли;</w:t>
      </w:r>
      <w:proofErr w:type="gramEnd"/>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на территории выделенных технических (охранных) зон магистральных коллекторов и трубопроводов, кабелей высокого, низкого напряжения и слабых токов;</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под железнодорожными путепроводами и автомобильными эстакадами, мостами;</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в надземных и подземных переходах;</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на расстоянии менее 20 метров от мест сбора мусора и пищевых отходов, дворовых уборных, выгребных ям;</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в случае</w:t>
      </w:r>
      <w:proofErr w:type="gramStart"/>
      <w:r w:rsidRPr="00A82544">
        <w:rPr>
          <w:rFonts w:ascii="Times New Roman" w:hAnsi="Times New Roman" w:cs="Times New Roman"/>
          <w:sz w:val="27"/>
          <w:szCs w:val="27"/>
        </w:rPr>
        <w:t>,</w:t>
      </w:r>
      <w:proofErr w:type="gramEnd"/>
      <w:r w:rsidRPr="00A82544">
        <w:rPr>
          <w:rFonts w:ascii="Times New Roman" w:hAnsi="Times New Roman" w:cs="Times New Roman"/>
          <w:sz w:val="27"/>
          <w:szCs w:val="27"/>
        </w:rPr>
        <w:t xml:space="preserve"> если размещение нестационарных торговых объектов препятствует свободному подъезду пожарной, аварийно-спасательной техники или доступу к объектам инженерной инфраструктуры (объектам энергоснабжения и освещения, колодцам, кранам, гидрантам и т.д.);</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 xml:space="preserve">без приспособления их для беспрепятственного доступа к ним и использования их инвалидами и другими </w:t>
      </w:r>
      <w:proofErr w:type="spellStart"/>
      <w:r w:rsidRPr="00A82544">
        <w:rPr>
          <w:rFonts w:ascii="Times New Roman" w:hAnsi="Times New Roman" w:cs="Times New Roman"/>
          <w:sz w:val="27"/>
          <w:szCs w:val="27"/>
        </w:rPr>
        <w:t>маломобильными</w:t>
      </w:r>
      <w:proofErr w:type="spellEnd"/>
      <w:r w:rsidRPr="00A82544">
        <w:rPr>
          <w:rFonts w:ascii="Times New Roman" w:hAnsi="Times New Roman" w:cs="Times New Roman"/>
          <w:sz w:val="27"/>
          <w:szCs w:val="27"/>
        </w:rPr>
        <w:t xml:space="preserve"> группами населения;</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с нарушением санитарных, градостроительных, противопожарных норм и правил, требований в сфере благоустройства.</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Для автолавки при ведении деятельности на территории сельских населенных пунктов разрабатывается и включается в схему маршрут движения, на протяжении которого осуществляется торговля в местах, соответствующих требованиям данного раздела.</w:t>
      </w:r>
    </w:p>
    <w:p w:rsidR="003073FF" w:rsidRPr="00A82544" w:rsidRDefault="003073FF" w:rsidP="003073FF">
      <w:pPr>
        <w:spacing w:after="0" w:line="240" w:lineRule="auto"/>
        <w:ind w:firstLine="709"/>
        <w:jc w:val="both"/>
        <w:rPr>
          <w:rFonts w:ascii="Times New Roman" w:hAnsi="Times New Roman" w:cs="Times New Roman"/>
          <w:sz w:val="27"/>
          <w:szCs w:val="27"/>
        </w:rPr>
      </w:pPr>
    </w:p>
    <w:p w:rsidR="003073FF" w:rsidRPr="00A82544" w:rsidRDefault="003073FF" w:rsidP="003073FF">
      <w:pPr>
        <w:pStyle w:val="a3"/>
        <w:widowControl w:val="0"/>
        <w:numPr>
          <w:ilvl w:val="0"/>
          <w:numId w:val="11"/>
        </w:numPr>
        <w:autoSpaceDE w:val="0"/>
        <w:autoSpaceDN w:val="0"/>
        <w:spacing w:after="0" w:line="240" w:lineRule="auto"/>
        <w:ind w:left="0" w:firstLine="709"/>
        <w:contextualSpacing w:val="0"/>
        <w:jc w:val="center"/>
        <w:rPr>
          <w:rFonts w:ascii="Times New Roman" w:hAnsi="Times New Roman" w:cs="Times New Roman"/>
          <w:b/>
          <w:sz w:val="27"/>
          <w:szCs w:val="27"/>
        </w:rPr>
      </w:pPr>
      <w:r w:rsidRPr="00A82544">
        <w:rPr>
          <w:rFonts w:ascii="Times New Roman" w:hAnsi="Times New Roman" w:cs="Times New Roman"/>
          <w:b/>
          <w:sz w:val="27"/>
          <w:szCs w:val="27"/>
        </w:rPr>
        <w:t>Общие требования к размещению и эксплуатации нестационарных торговых объектов (объектов по оказанию услуг)</w:t>
      </w:r>
    </w:p>
    <w:p w:rsidR="003073FF" w:rsidRPr="00A82544" w:rsidRDefault="003073FF" w:rsidP="003073FF">
      <w:pPr>
        <w:spacing w:after="0" w:line="240" w:lineRule="auto"/>
        <w:ind w:firstLine="709"/>
        <w:jc w:val="both"/>
        <w:rPr>
          <w:rFonts w:ascii="Times New Roman" w:hAnsi="Times New Roman" w:cs="Times New Roman"/>
          <w:sz w:val="27"/>
          <w:szCs w:val="27"/>
        </w:rPr>
      </w:pP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 xml:space="preserve">Субъект обязан устанавливать нестационарный торговый объект (объект по оказанию услуг) строго в месте, определенном Схемой размещения. </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proofErr w:type="gramStart"/>
      <w:r w:rsidRPr="00A82544">
        <w:rPr>
          <w:rFonts w:ascii="Times New Roman" w:hAnsi="Times New Roman" w:cs="Times New Roman"/>
          <w:sz w:val="27"/>
          <w:szCs w:val="27"/>
        </w:rPr>
        <w:t xml:space="preserve">Включение объектов, расположенных на земельных участках, в зданиях, строениях и сооружения, находящихся в государственной собственности (в федеральной собственности или в собственности Республики Башкортостан) в схему размещения осуществляется Администрацией сельского поселения </w:t>
      </w:r>
      <w:r w:rsidR="00BB2640" w:rsidRPr="00A82544">
        <w:rPr>
          <w:rFonts w:ascii="Times New Roman" w:hAnsi="Times New Roman" w:cs="Times New Roman"/>
          <w:sz w:val="27"/>
          <w:szCs w:val="27"/>
        </w:rPr>
        <w:t>Мурсалимкинский</w:t>
      </w:r>
      <w:r w:rsidRPr="00A82544">
        <w:rPr>
          <w:rFonts w:ascii="Times New Roman" w:hAnsi="Times New Roman" w:cs="Times New Roman"/>
          <w:sz w:val="27"/>
          <w:szCs w:val="27"/>
        </w:rPr>
        <w:t xml:space="preserve"> сельсовет муниципального района Салаватский район Республики Башкортостан по согласованию с федеральным органом исполнительной власти или органом исполнительной власти субъекта Российской Федерации, осуществляющими полномочия собственника имущества.</w:t>
      </w:r>
      <w:proofErr w:type="gramEnd"/>
    </w:p>
    <w:p w:rsidR="003073FF" w:rsidRPr="00A82544" w:rsidRDefault="003073FF" w:rsidP="003073FF">
      <w:pPr>
        <w:pStyle w:val="a3"/>
        <w:widowControl w:val="0"/>
        <w:numPr>
          <w:ilvl w:val="1"/>
          <w:numId w:val="11"/>
        </w:numPr>
        <w:tabs>
          <w:tab w:val="left" w:pos="1116"/>
        </w:tabs>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Включениевпроектсхемыразмещениянестационарныхторговыхобъект</w:t>
      </w:r>
      <w:r w:rsidRPr="00A82544">
        <w:rPr>
          <w:rFonts w:ascii="Times New Roman" w:hAnsi="Times New Roman" w:cs="Times New Roman"/>
          <w:sz w:val="27"/>
          <w:szCs w:val="27"/>
        </w:rPr>
        <w:lastRenderedPageBreak/>
        <w:t>овновыхместразмещениянестационарныхторговыхобъектовпроизводитсянаоснованиимотивированногообращения:</w:t>
      </w:r>
    </w:p>
    <w:p w:rsidR="003073FF" w:rsidRPr="00A82544" w:rsidRDefault="003073FF" w:rsidP="003073FF">
      <w:pPr>
        <w:pStyle w:val="a3"/>
        <w:widowControl w:val="0"/>
        <w:numPr>
          <w:ilvl w:val="0"/>
          <w:numId w:val="13"/>
        </w:numPr>
        <w:tabs>
          <w:tab w:val="left" w:pos="1029"/>
        </w:tabs>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физических и юридических лиц – субъектов предпринимательской деятельности,</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имеющих</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 xml:space="preserve">намерение </w:t>
      </w:r>
      <w:proofErr w:type="gramStart"/>
      <w:r w:rsidRPr="00A82544">
        <w:rPr>
          <w:rFonts w:ascii="Times New Roman" w:hAnsi="Times New Roman" w:cs="Times New Roman"/>
          <w:sz w:val="27"/>
          <w:szCs w:val="27"/>
        </w:rPr>
        <w:t>разместить</w:t>
      </w:r>
      <w:proofErr w:type="gramEnd"/>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нестационарный торговый</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объект;</w:t>
      </w:r>
    </w:p>
    <w:p w:rsidR="003073FF" w:rsidRPr="00A82544" w:rsidRDefault="003073FF" w:rsidP="003073FF">
      <w:pPr>
        <w:pStyle w:val="a3"/>
        <w:widowControl w:val="0"/>
        <w:numPr>
          <w:ilvl w:val="0"/>
          <w:numId w:val="13"/>
        </w:numPr>
        <w:tabs>
          <w:tab w:val="left" w:pos="1000"/>
        </w:tabs>
        <w:autoSpaceDE w:val="0"/>
        <w:autoSpaceDN w:val="0"/>
        <w:spacing w:before="1"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граждан, инициирующих размещение нестационарного торгового объекта в районе</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их</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проживания.</w:t>
      </w:r>
    </w:p>
    <w:p w:rsidR="003073FF" w:rsidRPr="00A82544" w:rsidRDefault="003073FF" w:rsidP="003073FF">
      <w:pPr>
        <w:pStyle w:val="a3"/>
        <w:widowControl w:val="0"/>
        <w:numPr>
          <w:ilvl w:val="1"/>
          <w:numId w:val="11"/>
        </w:numPr>
        <w:tabs>
          <w:tab w:val="left" w:pos="1261"/>
        </w:tabs>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Поступающие</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обращения</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передаются</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на</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согласование</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главному</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архитектору</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Администрации</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муниципального района</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Салаватский</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район</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Республики</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Башкортостан,</w:t>
      </w:r>
      <w:r w:rsidR="00BB2640" w:rsidRPr="00A82544">
        <w:rPr>
          <w:rFonts w:ascii="Times New Roman" w:hAnsi="Times New Roman" w:cs="Times New Roman"/>
          <w:sz w:val="27"/>
          <w:szCs w:val="27"/>
        </w:rPr>
        <w:t xml:space="preserve"> </w:t>
      </w:r>
      <w:r w:rsidRPr="00A82544">
        <w:rPr>
          <w:rFonts w:ascii="Times New Roman" w:hAnsi="Times New Roman" w:cs="Times New Roman"/>
          <w:spacing w:val="1"/>
          <w:sz w:val="27"/>
          <w:szCs w:val="27"/>
        </w:rPr>
        <w:t>заведующему с</w:t>
      </w:r>
      <w:r w:rsidRPr="00A82544">
        <w:rPr>
          <w:rFonts w:ascii="Times New Roman" w:hAnsi="Times New Roman" w:cs="Times New Roman"/>
          <w:sz w:val="27"/>
          <w:szCs w:val="27"/>
        </w:rPr>
        <w:t>ектором</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по</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управлению муниципальным имуществом Администрации муниципального района</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Салаватский</w:t>
      </w:r>
      <w:r w:rsidR="00BB2640" w:rsidRPr="00A82544">
        <w:rPr>
          <w:rFonts w:ascii="Times New Roman" w:hAnsi="Times New Roman" w:cs="Times New Roman"/>
          <w:sz w:val="27"/>
          <w:szCs w:val="27"/>
        </w:rPr>
        <w:t xml:space="preserve"> </w:t>
      </w:r>
      <w:r w:rsidRPr="00A82544">
        <w:rPr>
          <w:rFonts w:ascii="Times New Roman" w:hAnsi="Times New Roman" w:cs="Times New Roman"/>
          <w:sz w:val="27"/>
          <w:szCs w:val="27"/>
        </w:rPr>
        <w:t>район Республики Башкортостан.</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При осуществлении торговой деятельности в нестационарном торговом объекте должна соблюдаться специализация нестационарного торгового объекта.</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На нестационарных торговых объектах должна располагаться вывеска с указанием фирменного наименования хозяйствующего субъекта, режима работы. Хозяйствующие субъекты, осуществляющие торговую деятельность, определяют режим работы самостоятельно, за исключением случаев, установленных законодательством Российской Федерации.</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 противопожарных, экологических и других требований безопасности, а также соблюдение работниками условий труда и правил личной гигиены.</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Транспортное обслуживание нестационарных объектов и загрузка их товарами не должны затруднять и снижать безопасность движения транспорта и пешеходов.</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 xml:space="preserve">Подъездные пути, разгрузочные площадки, площадки для покупателей и для расположения столов должны обеспечивать удобный доступ </w:t>
      </w:r>
      <w:proofErr w:type="gramStart"/>
      <w:r w:rsidRPr="00A82544">
        <w:rPr>
          <w:rFonts w:ascii="Times New Roman" w:hAnsi="Times New Roman" w:cs="Times New Roman"/>
          <w:sz w:val="27"/>
          <w:szCs w:val="27"/>
        </w:rPr>
        <w:t>ко</w:t>
      </w:r>
      <w:proofErr w:type="gramEnd"/>
      <w:r w:rsidRPr="00A82544">
        <w:rPr>
          <w:rFonts w:ascii="Times New Roman" w:hAnsi="Times New Roman" w:cs="Times New Roman"/>
          <w:sz w:val="27"/>
          <w:szCs w:val="27"/>
        </w:rPr>
        <w:t xml:space="preserve"> входам, иметь твердое покрытие, обеспечивающее сток ливневых вод, а также должны быть освещены.</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Не рекомендуется использование тротуаров, пешеходных дорожек, газонов, элементов благоустройства для подъезда транспорта к зоне загрузки товара, для стоянки автотранспорта, осуществляющего доставку товара.</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proofErr w:type="gramStart"/>
      <w:r w:rsidRPr="00A82544">
        <w:rPr>
          <w:rFonts w:ascii="Times New Roman" w:hAnsi="Times New Roman" w:cs="Times New Roman"/>
          <w:sz w:val="27"/>
          <w:szCs w:val="27"/>
        </w:rPr>
        <w:t>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roofErr w:type="gramEnd"/>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В нестационарных торговых объектах используются средства измерения (весы, гири, мерные емкости и другие), соответствующие метрологическим правилам и нормам, установленным законодательством Российской Федерации. Измерительные приборы должны быть установлены таким образом, чтобы в наглядной форме обеспечивать процессы взвешивания товаров, определения их стоимости, а также их отпуска.</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lastRenderedPageBreak/>
        <w:t>Владельцы (пользователи) нестационарных торговых объектов обязаны обеспечить уход за их внешним видом: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При реализации товаров в нестационарном торговом объекте должны быть документы, подтверждающие качество и безопасность продукции, в соответствии с законодательством Российской Федерации.</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Образцы всех продовольственных и непродовольственных товаров должны быть снабжены единообразно оформленными ценниками с указанием наименования товара, его сорта, цены, даты его оформления, с подписью материально ответственного лица.</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Работники нестационарных торговых объектов обязаны:</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содержать нестационарные торговые объекты, торговое оборудование в чистоте;</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предохранять товары от пыли, загрязнения;</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иметь чистую форменную одежду;</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соблюдать правила личной гигиены и санитарного содержания прилегающей территории, иметь медицинскую книжку;</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Отпуск хлеба, выпечных кондитерских и хлебобулочных изделий осуществляется в упакованном виде.</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Запрещаются:</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заглубление фундаментов для размещения нестационарных торговых объектов и применение капитальных строительных конструкций для их сооружения;</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раскладка товаров, а также складирование тары и запаса продуктов на прилегающей к нестационарному торговому объекту территории;</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реализация пищевых продуктов домашнего приготовления: маринованных и соленых грибов, всех видов консервированных и герметически упакованных в банки продуктов, соков, изделий на основе сахара (леденцы, воздушный рис и т.п.);</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реализация скоропортящихся пищевых продуктов при отсутствии холодильного оборудования для их хранения и реализации;</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реализация с земли, а также частями и с надрезами картофеля, свежей плодоовощной продукции, бахчевых культур.</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Ассортимент горячих блюд должен соответствовать основной специализации пунктов быстрого питания (блины, картофель фри, хот-дог, пирожки, вафли и другие виды продукции). Реализация горячих блюд разрешается из полуфабрикатов высокой степени готовности.</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 xml:space="preserve">При отсутствии централизованного водоснабжения и </w:t>
      </w:r>
      <w:proofErr w:type="gramStart"/>
      <w:r w:rsidRPr="00A82544">
        <w:rPr>
          <w:rFonts w:ascii="Times New Roman" w:hAnsi="Times New Roman" w:cs="Times New Roman"/>
          <w:sz w:val="27"/>
          <w:szCs w:val="27"/>
        </w:rPr>
        <w:t>канализации</w:t>
      </w:r>
      <w:proofErr w:type="gramEnd"/>
      <w:r w:rsidRPr="00A82544">
        <w:rPr>
          <w:rFonts w:ascii="Times New Roman" w:hAnsi="Times New Roman" w:cs="Times New Roman"/>
          <w:sz w:val="27"/>
          <w:szCs w:val="27"/>
        </w:rPr>
        <w:t xml:space="preserve"> хозяйствующие субъекты должны обеспечить бесперебойную доставку и </w:t>
      </w:r>
      <w:r w:rsidRPr="00A82544">
        <w:rPr>
          <w:rFonts w:ascii="Times New Roman" w:hAnsi="Times New Roman" w:cs="Times New Roman"/>
          <w:sz w:val="27"/>
          <w:szCs w:val="27"/>
        </w:rPr>
        <w:lastRenderedPageBreak/>
        <w:t>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Выносное холодильное оборудование размещается в соответствии со схемой и может использоваться для реализации мороженого, соков и прохладительных напитков.</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Сведения по нестационарным торговым объектам (объектам по оказанию услуг) предоставляется в Администрацию муниципального района Салаватский район Республики Башкортостан для внесения в торговый реестр муниципального района Салаватский район Республики Башкортостан.</w:t>
      </w:r>
    </w:p>
    <w:p w:rsidR="003073FF" w:rsidRPr="00A82544" w:rsidRDefault="003073FF" w:rsidP="003073FF">
      <w:pPr>
        <w:spacing w:after="0" w:line="240" w:lineRule="auto"/>
        <w:ind w:firstLine="709"/>
        <w:jc w:val="both"/>
        <w:rPr>
          <w:rFonts w:ascii="Times New Roman" w:hAnsi="Times New Roman" w:cs="Times New Roman"/>
          <w:sz w:val="27"/>
          <w:szCs w:val="27"/>
        </w:rPr>
      </w:pPr>
    </w:p>
    <w:p w:rsidR="003073FF" w:rsidRPr="00A82544" w:rsidRDefault="003073FF" w:rsidP="00BB2640">
      <w:pPr>
        <w:pStyle w:val="a3"/>
        <w:widowControl w:val="0"/>
        <w:numPr>
          <w:ilvl w:val="0"/>
          <w:numId w:val="11"/>
        </w:numPr>
        <w:autoSpaceDE w:val="0"/>
        <w:autoSpaceDN w:val="0"/>
        <w:spacing w:after="0" w:line="240" w:lineRule="auto"/>
        <w:ind w:left="0" w:firstLine="0"/>
        <w:contextualSpacing w:val="0"/>
        <w:jc w:val="center"/>
        <w:rPr>
          <w:rFonts w:ascii="Times New Roman" w:hAnsi="Times New Roman" w:cs="Times New Roman"/>
          <w:b/>
          <w:sz w:val="27"/>
          <w:szCs w:val="27"/>
        </w:rPr>
      </w:pPr>
      <w:r w:rsidRPr="00A82544">
        <w:rPr>
          <w:rFonts w:ascii="Times New Roman" w:hAnsi="Times New Roman" w:cs="Times New Roman"/>
          <w:b/>
          <w:sz w:val="27"/>
          <w:szCs w:val="27"/>
        </w:rPr>
        <w:t>Порядок размещения и эксплуатации нестационарных торговых объектов (объектов по оказанию услуг)</w:t>
      </w:r>
    </w:p>
    <w:p w:rsidR="003073FF" w:rsidRPr="00A82544" w:rsidRDefault="003073FF" w:rsidP="003073FF">
      <w:pPr>
        <w:spacing w:after="0" w:line="240" w:lineRule="auto"/>
        <w:ind w:firstLine="709"/>
        <w:jc w:val="both"/>
        <w:rPr>
          <w:rFonts w:ascii="Times New Roman" w:hAnsi="Times New Roman" w:cs="Times New Roman"/>
          <w:sz w:val="27"/>
          <w:szCs w:val="27"/>
        </w:rPr>
      </w:pP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proofErr w:type="gramStart"/>
      <w:r w:rsidRPr="00A82544">
        <w:rPr>
          <w:rFonts w:ascii="Times New Roman" w:hAnsi="Times New Roman" w:cs="Times New Roman"/>
          <w:sz w:val="27"/>
          <w:szCs w:val="27"/>
        </w:rPr>
        <w:t xml:space="preserve">Субъекты, желающие разместить нестационарный торговый объект (объект по оказанию услуг) на территории сельского поселения </w:t>
      </w:r>
      <w:r w:rsidR="00BB2640" w:rsidRPr="00A82544">
        <w:rPr>
          <w:rFonts w:ascii="Times New Roman" w:hAnsi="Times New Roman" w:cs="Times New Roman"/>
          <w:sz w:val="27"/>
          <w:szCs w:val="27"/>
        </w:rPr>
        <w:t>Мурсалимкинский</w:t>
      </w:r>
      <w:r w:rsidRPr="00A82544">
        <w:rPr>
          <w:rFonts w:ascii="Times New Roman" w:hAnsi="Times New Roman" w:cs="Times New Roman"/>
          <w:sz w:val="27"/>
          <w:szCs w:val="27"/>
        </w:rPr>
        <w:t xml:space="preserve"> сельсовет муниципального района Салаватский район Республики Башкортостан согласно утвержденной Схеме размещения, принимают участие в открытом конкурсе на право заключения договора на размещение нестационарного торгового объекта (объекта по оказанию услуг) в соответствии с Порядком, указанным в приложении № 2 к настоящему Положению.</w:t>
      </w:r>
      <w:proofErr w:type="gramEnd"/>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 xml:space="preserve">По итогам открытого конкурса между Администрацией сельского поселения </w:t>
      </w:r>
      <w:r w:rsidR="00BB2640" w:rsidRPr="00A82544">
        <w:rPr>
          <w:rFonts w:ascii="Times New Roman" w:hAnsi="Times New Roman" w:cs="Times New Roman"/>
          <w:sz w:val="27"/>
          <w:szCs w:val="27"/>
        </w:rPr>
        <w:t>Мурсалимкинский</w:t>
      </w:r>
      <w:r w:rsidRPr="00A82544">
        <w:rPr>
          <w:rFonts w:ascii="Times New Roman" w:hAnsi="Times New Roman" w:cs="Times New Roman"/>
          <w:sz w:val="27"/>
          <w:szCs w:val="27"/>
        </w:rPr>
        <w:t xml:space="preserve"> сельсовет муниципального района Салаватский район Республики Башкортостан и Победителем конкурса заключается договор на размещение нестационарного торгового объекта (объекта по оказанию услуг). Договор заключается на срок не более 7 лет.</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proofErr w:type="gramStart"/>
      <w:r w:rsidRPr="00A82544">
        <w:rPr>
          <w:rFonts w:ascii="Times New Roman" w:hAnsi="Times New Roman" w:cs="Times New Roman"/>
          <w:sz w:val="27"/>
          <w:szCs w:val="27"/>
        </w:rPr>
        <w:t>Договор на размещение нестационарного торгового объекта, срок действия которого истекает со дня вступления в силу Постановления Правительства Российской Федерации от 12 марта 2022 года № 353 "Об особенностях разрешительной деятельности в Российской Федерации в 2022 году" по 31 декабря 2026 года, считается продленным на семь лет, если до окончания срока его действия хозяйствующий субъект письменно не уведомит орган местного самоуправления Республики</w:t>
      </w:r>
      <w:proofErr w:type="gramEnd"/>
      <w:r w:rsidRPr="00A82544">
        <w:rPr>
          <w:rFonts w:ascii="Times New Roman" w:hAnsi="Times New Roman" w:cs="Times New Roman"/>
          <w:sz w:val="27"/>
          <w:szCs w:val="27"/>
        </w:rPr>
        <w:t xml:space="preserve"> Башкортостан о прекращении договора или его продлении на иной срок, не превышающий семи лет.</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Указанное положение не распространяется на договоры на размещение нестационарного торгового объекта сезонного размещения.</w:t>
      </w:r>
    </w:p>
    <w:p w:rsidR="003073FF" w:rsidRPr="00A82544" w:rsidRDefault="003073FF" w:rsidP="003073FF">
      <w:pPr>
        <w:pStyle w:val="a3"/>
        <w:widowControl w:val="0"/>
        <w:numPr>
          <w:ilvl w:val="1"/>
          <w:numId w:val="11"/>
        </w:numPr>
        <w:autoSpaceDE w:val="0"/>
        <w:autoSpaceDN w:val="0"/>
        <w:spacing w:after="0" w:line="240" w:lineRule="auto"/>
        <w:ind w:left="0" w:firstLine="709"/>
        <w:contextualSpacing w:val="0"/>
        <w:jc w:val="both"/>
        <w:rPr>
          <w:rFonts w:ascii="Times New Roman" w:hAnsi="Times New Roman" w:cs="Times New Roman"/>
          <w:sz w:val="27"/>
          <w:szCs w:val="27"/>
        </w:rPr>
      </w:pPr>
      <w:r w:rsidRPr="00A82544">
        <w:rPr>
          <w:rFonts w:ascii="Times New Roman" w:hAnsi="Times New Roman" w:cs="Times New Roman"/>
          <w:sz w:val="27"/>
          <w:szCs w:val="27"/>
        </w:rPr>
        <w:t xml:space="preserve">Договор на размещение нестационарного торгового объекта заключается на торгах, проводимых в форме аукциона (конкурса), за исключением случаев, предусмотренных пунктом 4.5 настоящего Положения. </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4.5. Договор на размещение нестационарного торгового объекта заключается без проведения торгов в следующих случаях:</w:t>
      </w:r>
    </w:p>
    <w:p w:rsidR="003073FF" w:rsidRPr="00A82544" w:rsidRDefault="003073FF" w:rsidP="003073FF">
      <w:pPr>
        <w:spacing w:after="0" w:line="240" w:lineRule="auto"/>
        <w:ind w:firstLine="709"/>
        <w:jc w:val="both"/>
        <w:rPr>
          <w:rFonts w:ascii="Times New Roman" w:hAnsi="Times New Roman" w:cs="Times New Roman"/>
          <w:sz w:val="27"/>
          <w:szCs w:val="27"/>
        </w:rPr>
      </w:pPr>
      <w:bookmarkStart w:id="0" w:name="P0014_1"/>
      <w:bookmarkEnd w:id="0"/>
      <w:proofErr w:type="gramStart"/>
      <w:r w:rsidRPr="00A82544">
        <w:rPr>
          <w:rFonts w:ascii="Times New Roman" w:hAnsi="Times New Roman" w:cs="Times New Roman"/>
          <w:sz w:val="27"/>
          <w:szCs w:val="27"/>
        </w:rPr>
        <w:t xml:space="preserve">1) размещение на срок не более семи лет нестационарного торгового объекта, в том числе летней террасы, расположенного в соответствии со схемой в месте размещения, предусмотренном ранее заключенным договором на размещение нестационарного торгового объекта (договором аренды земельного участка, предоставленного для размещения нестационарного торгового </w:t>
      </w:r>
      <w:r w:rsidRPr="00A82544">
        <w:rPr>
          <w:rFonts w:ascii="Times New Roman" w:hAnsi="Times New Roman" w:cs="Times New Roman"/>
          <w:sz w:val="27"/>
          <w:szCs w:val="27"/>
        </w:rPr>
        <w:lastRenderedPageBreak/>
        <w:t>объекта), за исключением нестационарного торгового объекта для осуществления сезонной торговли, при одновременном соблюдении следующих условий:</w:t>
      </w:r>
      <w:proofErr w:type="gramEnd"/>
    </w:p>
    <w:p w:rsidR="003073FF" w:rsidRPr="00A82544" w:rsidRDefault="003073FF" w:rsidP="003073FF">
      <w:pPr>
        <w:spacing w:after="0" w:line="240" w:lineRule="auto"/>
        <w:ind w:firstLine="709"/>
        <w:jc w:val="both"/>
        <w:rPr>
          <w:rFonts w:ascii="Times New Roman" w:hAnsi="Times New Roman" w:cs="Times New Roman"/>
          <w:sz w:val="27"/>
          <w:szCs w:val="27"/>
        </w:rPr>
      </w:pPr>
      <w:bookmarkStart w:id="1" w:name="P0015_1"/>
      <w:bookmarkEnd w:id="1"/>
      <w:r w:rsidRPr="00A82544">
        <w:rPr>
          <w:rFonts w:ascii="Times New Roman" w:hAnsi="Times New Roman" w:cs="Times New Roman"/>
          <w:sz w:val="27"/>
          <w:szCs w:val="27"/>
        </w:rPr>
        <w:t>а) хозяйствующий субъект надлежащим образом исполнил свои обязанности по ранее заключенному договору на размещение нестационарного торгового объекта (договору аренды земельного участка, предоставленного для размещения нестационарного торгового объекта), в том числе не допустил нарушения существенных условий договора;</w:t>
      </w:r>
    </w:p>
    <w:p w:rsidR="003073FF" w:rsidRPr="00A82544" w:rsidRDefault="003073FF" w:rsidP="003073FF">
      <w:pPr>
        <w:spacing w:after="0" w:line="240" w:lineRule="auto"/>
        <w:ind w:firstLine="709"/>
        <w:jc w:val="both"/>
        <w:rPr>
          <w:rFonts w:ascii="Times New Roman" w:hAnsi="Times New Roman" w:cs="Times New Roman"/>
          <w:sz w:val="27"/>
          <w:szCs w:val="27"/>
        </w:rPr>
      </w:pPr>
      <w:bookmarkStart w:id="2" w:name="P0016_1"/>
      <w:bookmarkEnd w:id="2"/>
      <w:r w:rsidRPr="00A82544">
        <w:rPr>
          <w:rFonts w:ascii="Times New Roman" w:hAnsi="Times New Roman" w:cs="Times New Roman"/>
          <w:sz w:val="27"/>
          <w:szCs w:val="27"/>
        </w:rPr>
        <w:t>б) заявление о заключении договора на размещение нестационарного торгового объекта (далее - заявление) подано хозяйствующим субъектом до дня истечения срока действия ранее заключенного договора на размещение нестационарного торгового объекта (договора аренды земельного участка, предоставленного для размещения нестационарного торгового объекта);</w:t>
      </w:r>
    </w:p>
    <w:p w:rsidR="003073FF" w:rsidRPr="00A82544" w:rsidRDefault="003073FF" w:rsidP="003073FF">
      <w:pPr>
        <w:spacing w:after="0" w:line="240" w:lineRule="auto"/>
        <w:ind w:firstLine="709"/>
        <w:jc w:val="both"/>
        <w:rPr>
          <w:rFonts w:ascii="Times New Roman" w:hAnsi="Times New Roman" w:cs="Times New Roman"/>
          <w:sz w:val="27"/>
          <w:szCs w:val="27"/>
        </w:rPr>
      </w:pPr>
      <w:bookmarkStart w:id="3" w:name="P0017_1"/>
      <w:bookmarkEnd w:id="3"/>
      <w:proofErr w:type="gramStart"/>
      <w:r w:rsidRPr="00A82544">
        <w:rPr>
          <w:rFonts w:ascii="Times New Roman" w:hAnsi="Times New Roman" w:cs="Times New Roman"/>
          <w:sz w:val="27"/>
          <w:szCs w:val="27"/>
        </w:rPr>
        <w:t>1.1) размещение на срок не более семи лет нестационарного торгового объекта, расположенного в соответствии со схемой в месте размещения, предусмотренном ранее заключенным договором аренды земельного участка, предоставленного для размещения нестационарного торгового объекта (договором на размещение нестационарного торгового объекта), если хозяйствующий субъект продолжает пользоваться земельным участком (землями), при одновременном соблюдении следующих условий:</w:t>
      </w:r>
      <w:bookmarkStart w:id="4" w:name="P0018"/>
      <w:bookmarkStart w:id="5" w:name="P0018_1"/>
      <w:bookmarkEnd w:id="4"/>
      <w:bookmarkEnd w:id="5"/>
      <w:proofErr w:type="gramEnd"/>
    </w:p>
    <w:p w:rsidR="003073FF" w:rsidRPr="00A82544" w:rsidRDefault="003073FF" w:rsidP="003073FF">
      <w:pPr>
        <w:spacing w:after="0" w:line="240" w:lineRule="auto"/>
        <w:ind w:firstLine="709"/>
        <w:jc w:val="both"/>
        <w:rPr>
          <w:rFonts w:ascii="Times New Roman" w:hAnsi="Times New Roman" w:cs="Times New Roman"/>
          <w:sz w:val="27"/>
          <w:szCs w:val="27"/>
        </w:rPr>
      </w:pPr>
      <w:proofErr w:type="gramStart"/>
      <w:r w:rsidRPr="00A82544">
        <w:rPr>
          <w:rFonts w:ascii="Times New Roman" w:hAnsi="Times New Roman" w:cs="Times New Roman"/>
          <w:sz w:val="27"/>
          <w:szCs w:val="27"/>
        </w:rPr>
        <w:t>а) отсутствие у хозяйствующего субъекта задолженности по арендной плате по ранее заключенному договору аренды земельного участка, предоставленного для размещения нестационарного торгового объекта, на дату подачи заявления, а также внесение арендной платы в полном объеме за период после истечения действия договора аренды земельного участка, предоставленного для размещения нестационарного торгового объекта, до даты подачи заявления (отсутствие у хозяйствующего субъекта задолженности по плате</w:t>
      </w:r>
      <w:proofErr w:type="gramEnd"/>
      <w:r w:rsidRPr="00A82544">
        <w:rPr>
          <w:rFonts w:ascii="Times New Roman" w:hAnsi="Times New Roman" w:cs="Times New Roman"/>
          <w:sz w:val="27"/>
          <w:szCs w:val="27"/>
        </w:rPr>
        <w:t xml:space="preserve"> по ранее заключенному договору на размещение нестационарного торгового объекта на дату подачи заявления, а также внесение платы в полном объеме за период после истечения действия договора на размещение нестационарного торгового объекта до даты подачи заявления);</w:t>
      </w:r>
      <w:bookmarkStart w:id="6" w:name="P0019"/>
      <w:bookmarkEnd w:id="6"/>
    </w:p>
    <w:p w:rsidR="003073FF" w:rsidRPr="00A82544" w:rsidRDefault="003073FF" w:rsidP="003073FF">
      <w:pPr>
        <w:spacing w:after="0" w:line="240" w:lineRule="auto"/>
        <w:ind w:firstLine="709"/>
        <w:jc w:val="both"/>
        <w:rPr>
          <w:rFonts w:ascii="Times New Roman" w:hAnsi="Times New Roman" w:cs="Times New Roman"/>
          <w:sz w:val="27"/>
          <w:szCs w:val="27"/>
        </w:rPr>
      </w:pPr>
      <w:bookmarkStart w:id="7" w:name="P0019_1"/>
      <w:bookmarkEnd w:id="7"/>
      <w:proofErr w:type="gramStart"/>
      <w:r w:rsidRPr="00A82544">
        <w:rPr>
          <w:rFonts w:ascii="Times New Roman" w:hAnsi="Times New Roman" w:cs="Times New Roman"/>
          <w:sz w:val="27"/>
          <w:szCs w:val="27"/>
        </w:rPr>
        <w:t>б) хозяйствующий субъект берет на себя обязательство разместить нестационарный торговый объект, внешний вид которого соответствует требованиям, содержащимся в правилах благоустройства территории муниципального образования, иными нормативными правовыми актами, регулирующими внешний вид нестационарного торгового объекта, или привести внешний вид размещенного нестационарного торгового объекта в соответствие с указанными требованиями в срок и на условиях, установленных договором на размещение нестационарного торгового объекта;</w:t>
      </w:r>
      <w:proofErr w:type="gramEnd"/>
    </w:p>
    <w:p w:rsidR="003073FF" w:rsidRPr="00A82544" w:rsidRDefault="003073FF" w:rsidP="003073FF">
      <w:pPr>
        <w:spacing w:after="0" w:line="240" w:lineRule="auto"/>
        <w:ind w:firstLine="709"/>
        <w:jc w:val="both"/>
        <w:rPr>
          <w:rFonts w:ascii="Times New Roman" w:hAnsi="Times New Roman" w:cs="Times New Roman"/>
          <w:sz w:val="27"/>
          <w:szCs w:val="27"/>
        </w:rPr>
      </w:pPr>
      <w:bookmarkStart w:id="8" w:name="P001A_1"/>
      <w:bookmarkEnd w:id="8"/>
      <w:proofErr w:type="gramStart"/>
      <w:r w:rsidRPr="00A82544">
        <w:rPr>
          <w:rFonts w:ascii="Times New Roman" w:hAnsi="Times New Roman" w:cs="Times New Roman"/>
          <w:sz w:val="27"/>
          <w:szCs w:val="27"/>
        </w:rPr>
        <w:t>2) размещение нестационарного торгового объекта лицом, являющимся сельскохозяйственным потребительским кооперативом в соответствии с пунктом 2 части 2 статьи 3 Федерального закона "О развитии сельского хозяйства", или организациями потребительской кооперации в соответствии с Законом Российской Федерации "О потребительской кооперации (потребительских обществах, их союзах) в Российской Федерации".</w:t>
      </w:r>
      <w:proofErr w:type="gramEnd"/>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4.6. Действие настоящего Положения не распространяется на отношения, связанные с размещением нестационарных торговых объектов:</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1) в пределах территорий розничных рынков;</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2) при проведении ярмарок;</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lastRenderedPageBreak/>
        <w:t>3) при проведении культурно-массовых, спортивно-зрелищных и иных массовых мероприятий;</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4) в зданиях, строениях и сооружениях;</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 xml:space="preserve">5) в </w:t>
      </w:r>
      <w:proofErr w:type="gramStart"/>
      <w:r w:rsidRPr="00A82544">
        <w:rPr>
          <w:rFonts w:ascii="Times New Roman" w:hAnsi="Times New Roman" w:cs="Times New Roman"/>
          <w:sz w:val="27"/>
          <w:szCs w:val="27"/>
        </w:rPr>
        <w:t>которых</w:t>
      </w:r>
      <w:proofErr w:type="gramEnd"/>
      <w:r w:rsidRPr="00A82544">
        <w:rPr>
          <w:rFonts w:ascii="Times New Roman" w:hAnsi="Times New Roman" w:cs="Times New Roman"/>
          <w:sz w:val="27"/>
          <w:szCs w:val="27"/>
        </w:rPr>
        <w:t xml:space="preserve"> оказываются бытовые услуги;</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6) летних кафе и летних террас.</w:t>
      </w:r>
    </w:p>
    <w:p w:rsidR="003073FF" w:rsidRDefault="003073FF"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Default="00A82544" w:rsidP="003073FF">
      <w:pPr>
        <w:ind w:left="1276" w:right="269" w:firstLine="709"/>
        <w:jc w:val="both"/>
        <w:rPr>
          <w:rFonts w:ascii="Times New Roman" w:hAnsi="Times New Roman" w:cs="Times New Roman"/>
          <w:sz w:val="27"/>
          <w:szCs w:val="27"/>
        </w:rPr>
      </w:pPr>
    </w:p>
    <w:p w:rsidR="00A82544" w:rsidRPr="00A82544" w:rsidRDefault="00A82544" w:rsidP="003073FF">
      <w:pPr>
        <w:ind w:left="1276" w:right="269" w:firstLine="709"/>
        <w:jc w:val="both"/>
        <w:rPr>
          <w:rFonts w:ascii="Times New Roman" w:hAnsi="Times New Roman" w:cs="Times New Roman"/>
          <w:sz w:val="27"/>
          <w:szCs w:val="27"/>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1"/>
        <w:gridCol w:w="5664"/>
      </w:tblGrid>
      <w:tr w:rsidR="003073FF" w:rsidRPr="00A82544" w:rsidTr="00297BC4">
        <w:tc>
          <w:tcPr>
            <w:tcW w:w="3681" w:type="dxa"/>
          </w:tcPr>
          <w:p w:rsidR="003073FF" w:rsidRPr="00A82544" w:rsidRDefault="003073FF" w:rsidP="00297BC4">
            <w:pPr>
              <w:rPr>
                <w:rFonts w:ascii="Times New Roman" w:hAnsi="Times New Roman" w:cs="Times New Roman"/>
                <w:sz w:val="27"/>
                <w:szCs w:val="27"/>
              </w:rPr>
            </w:pPr>
          </w:p>
        </w:tc>
        <w:tc>
          <w:tcPr>
            <w:tcW w:w="5664" w:type="dxa"/>
          </w:tcPr>
          <w:p w:rsidR="003073FF" w:rsidRPr="00A82544" w:rsidRDefault="003073FF" w:rsidP="00297BC4">
            <w:pPr>
              <w:rPr>
                <w:rFonts w:ascii="Times New Roman" w:hAnsi="Times New Roman" w:cs="Times New Roman"/>
                <w:sz w:val="24"/>
                <w:szCs w:val="24"/>
              </w:rPr>
            </w:pPr>
            <w:r w:rsidRPr="00A82544">
              <w:rPr>
                <w:rFonts w:ascii="Times New Roman" w:hAnsi="Times New Roman" w:cs="Times New Roman"/>
                <w:sz w:val="24"/>
                <w:szCs w:val="24"/>
              </w:rPr>
              <w:t>Приложение № 2</w:t>
            </w:r>
          </w:p>
          <w:p w:rsidR="00BB2640" w:rsidRPr="00A82544" w:rsidRDefault="00BB2640" w:rsidP="00BB2640">
            <w:pPr>
              <w:rPr>
                <w:rFonts w:ascii="Times New Roman" w:hAnsi="Times New Roman" w:cs="Times New Roman"/>
                <w:sz w:val="24"/>
                <w:szCs w:val="24"/>
              </w:rPr>
            </w:pPr>
            <w:r w:rsidRPr="00A82544">
              <w:rPr>
                <w:rFonts w:ascii="Times New Roman" w:hAnsi="Times New Roman" w:cs="Times New Roman"/>
                <w:sz w:val="24"/>
                <w:szCs w:val="24"/>
              </w:rPr>
              <w:t>к постановлению Администрации сельского поселения Мурсалимкинский сельсовет муниципального района Салаватский район Республики Башкортостан</w:t>
            </w:r>
          </w:p>
          <w:p w:rsidR="00BB2640" w:rsidRPr="00A82544" w:rsidRDefault="00BB2640" w:rsidP="00BB2640">
            <w:pPr>
              <w:rPr>
                <w:rFonts w:ascii="Times New Roman" w:hAnsi="Times New Roman" w:cs="Times New Roman"/>
                <w:sz w:val="24"/>
                <w:szCs w:val="24"/>
              </w:rPr>
            </w:pPr>
            <w:r w:rsidRPr="00A82544">
              <w:rPr>
                <w:rFonts w:ascii="Times New Roman" w:hAnsi="Times New Roman" w:cs="Times New Roman"/>
                <w:sz w:val="24"/>
                <w:szCs w:val="24"/>
              </w:rPr>
              <w:t>от 05.06.2025 г. № 35</w:t>
            </w:r>
          </w:p>
          <w:p w:rsidR="003073FF" w:rsidRPr="00A82544" w:rsidRDefault="003073FF" w:rsidP="00297BC4">
            <w:pPr>
              <w:jc w:val="both"/>
              <w:rPr>
                <w:rFonts w:ascii="Times New Roman" w:hAnsi="Times New Roman" w:cs="Times New Roman"/>
                <w:sz w:val="24"/>
                <w:szCs w:val="24"/>
              </w:rPr>
            </w:pPr>
          </w:p>
        </w:tc>
      </w:tr>
    </w:tbl>
    <w:p w:rsidR="003073FF" w:rsidRPr="00A82544" w:rsidRDefault="003073FF" w:rsidP="003073FF">
      <w:pPr>
        <w:spacing w:after="0" w:line="240" w:lineRule="auto"/>
        <w:jc w:val="center"/>
        <w:rPr>
          <w:rFonts w:ascii="Times New Roman" w:hAnsi="Times New Roman" w:cs="Times New Roman"/>
          <w:b/>
          <w:sz w:val="27"/>
          <w:szCs w:val="27"/>
        </w:rPr>
      </w:pPr>
      <w:r w:rsidRPr="00A82544">
        <w:rPr>
          <w:rFonts w:ascii="Times New Roman" w:hAnsi="Times New Roman" w:cs="Times New Roman"/>
          <w:b/>
          <w:sz w:val="27"/>
          <w:szCs w:val="27"/>
        </w:rPr>
        <w:t xml:space="preserve">Порядок организации и проведения открытого конкурса на право заключения договора на размещение нестационарного торгового объекта (объекта по оказанию услуг) на территории сельского поселения </w:t>
      </w:r>
      <w:r w:rsidR="00A82544" w:rsidRPr="00A82544">
        <w:rPr>
          <w:rFonts w:ascii="Times New Roman" w:hAnsi="Times New Roman" w:cs="Times New Roman"/>
          <w:b/>
          <w:sz w:val="27"/>
          <w:szCs w:val="27"/>
        </w:rPr>
        <w:t>Мурсалимкинский</w:t>
      </w:r>
      <w:r w:rsidRPr="00A82544">
        <w:rPr>
          <w:rFonts w:ascii="Times New Roman" w:hAnsi="Times New Roman" w:cs="Times New Roman"/>
          <w:b/>
          <w:sz w:val="27"/>
          <w:szCs w:val="27"/>
        </w:rPr>
        <w:t xml:space="preserve"> сельсовет муниципального района Салаватский район Республики Башкортостан</w:t>
      </w:r>
    </w:p>
    <w:p w:rsidR="003073FF" w:rsidRPr="00A82544" w:rsidRDefault="003073FF" w:rsidP="003073FF">
      <w:pPr>
        <w:ind w:right="269"/>
        <w:rPr>
          <w:rFonts w:ascii="Times New Roman" w:hAnsi="Times New Roman" w:cs="Times New Roman"/>
          <w:sz w:val="27"/>
          <w:szCs w:val="27"/>
        </w:rPr>
      </w:pPr>
    </w:p>
    <w:p w:rsidR="003073FF" w:rsidRPr="00A82544" w:rsidRDefault="003073FF" w:rsidP="003073FF">
      <w:pPr>
        <w:pStyle w:val="a3"/>
        <w:widowControl w:val="0"/>
        <w:numPr>
          <w:ilvl w:val="0"/>
          <w:numId w:val="12"/>
        </w:numPr>
        <w:autoSpaceDE w:val="0"/>
        <w:autoSpaceDN w:val="0"/>
        <w:spacing w:after="0" w:line="240" w:lineRule="auto"/>
        <w:contextualSpacing w:val="0"/>
        <w:jc w:val="both"/>
        <w:rPr>
          <w:rFonts w:ascii="Times New Roman" w:hAnsi="Times New Roman" w:cs="Times New Roman"/>
          <w:sz w:val="27"/>
          <w:szCs w:val="27"/>
        </w:rPr>
      </w:pPr>
      <w:r w:rsidRPr="00A82544">
        <w:rPr>
          <w:rFonts w:ascii="Times New Roman" w:hAnsi="Times New Roman" w:cs="Times New Roman"/>
          <w:sz w:val="27"/>
          <w:szCs w:val="27"/>
        </w:rPr>
        <w:t>Абзац 25 пункта 4 изложить в следующей редакции:</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Конкурсные материалы участников конкурса оцениваются со следующим распределением баллов по каждому критерию:</w:t>
      </w:r>
    </w:p>
    <w:p w:rsidR="003073FF" w:rsidRPr="00A82544" w:rsidRDefault="003073FF" w:rsidP="003073FF">
      <w:pPr>
        <w:spacing w:after="0" w:line="240" w:lineRule="auto"/>
        <w:rPr>
          <w:rFonts w:ascii="Times New Roman" w:hAnsi="Times New Roman" w:cs="Times New Roman"/>
          <w:sz w:val="27"/>
          <w:szCs w:val="27"/>
        </w:rPr>
      </w:pPr>
    </w:p>
    <w:tbl>
      <w:tblPr>
        <w:tblStyle w:val="a8"/>
        <w:tblW w:w="0" w:type="auto"/>
        <w:tblInd w:w="-5" w:type="dxa"/>
        <w:tblLook w:val="04A0"/>
      </w:tblPr>
      <w:tblGrid>
        <w:gridCol w:w="993"/>
        <w:gridCol w:w="3780"/>
        <w:gridCol w:w="3307"/>
        <w:gridCol w:w="1270"/>
      </w:tblGrid>
      <w:tr w:rsidR="003073FF" w:rsidRPr="00A82544" w:rsidTr="00297BC4">
        <w:tc>
          <w:tcPr>
            <w:tcW w:w="993" w:type="dxa"/>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w:t>
            </w:r>
          </w:p>
        </w:tc>
        <w:tc>
          <w:tcPr>
            <w:tcW w:w="3780" w:type="dxa"/>
            <w:tcBorders>
              <w:bottom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Наименование критерия</w:t>
            </w:r>
          </w:p>
        </w:tc>
        <w:tc>
          <w:tcPr>
            <w:tcW w:w="3307" w:type="dxa"/>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Индикатор оценки критерия</w:t>
            </w:r>
          </w:p>
        </w:tc>
        <w:tc>
          <w:tcPr>
            <w:tcW w:w="1270" w:type="dxa"/>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Баллы</w:t>
            </w:r>
          </w:p>
        </w:tc>
      </w:tr>
      <w:tr w:rsidR="003073FF" w:rsidRPr="00A82544" w:rsidTr="00297BC4">
        <w:tc>
          <w:tcPr>
            <w:tcW w:w="993" w:type="dxa"/>
            <w:vMerge w:val="restart"/>
            <w:tcBorders>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1</w:t>
            </w:r>
          </w:p>
        </w:tc>
        <w:tc>
          <w:tcPr>
            <w:tcW w:w="3780" w:type="dxa"/>
            <w:tcBorders>
              <w:top w:val="single" w:sz="4" w:space="0" w:color="auto"/>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Внешний вид и оформление объекта:</w:t>
            </w:r>
          </w:p>
          <w:p w:rsidR="003073FF" w:rsidRPr="00A82544" w:rsidRDefault="003073FF" w:rsidP="00297BC4">
            <w:pPr>
              <w:jc w:val="center"/>
              <w:rPr>
                <w:rFonts w:ascii="Times New Roman" w:hAnsi="Times New Roman" w:cs="Times New Roman"/>
                <w:sz w:val="27"/>
                <w:szCs w:val="27"/>
              </w:rPr>
            </w:pPr>
          </w:p>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эскиз или фотография нестационарного торгового объекта (объекта по оказанию услуг), планируемого к размещению;</w:t>
            </w:r>
          </w:p>
          <w:p w:rsidR="003073FF" w:rsidRPr="00A82544" w:rsidRDefault="003073FF" w:rsidP="00297BC4">
            <w:pPr>
              <w:jc w:val="center"/>
              <w:rPr>
                <w:rFonts w:ascii="Times New Roman" w:hAnsi="Times New Roman" w:cs="Times New Roman"/>
                <w:sz w:val="27"/>
                <w:szCs w:val="27"/>
              </w:rPr>
            </w:pPr>
          </w:p>
        </w:tc>
        <w:tc>
          <w:tcPr>
            <w:tcW w:w="3307" w:type="dxa"/>
            <w:vMerge w:val="restart"/>
            <w:tcBorders>
              <w:lef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 xml:space="preserve">Соответствие эскиза с предложениями по архитектурно-художественному и цветовому решению типовым </w:t>
            </w:r>
            <w:proofErr w:type="gramStart"/>
            <w:r w:rsidRPr="00A82544">
              <w:rPr>
                <w:rFonts w:ascii="Times New Roman" w:hAnsi="Times New Roman" w:cs="Times New Roman"/>
                <w:sz w:val="27"/>
                <w:szCs w:val="27"/>
              </w:rPr>
              <w:t>архитектурным решениям</w:t>
            </w:r>
            <w:proofErr w:type="gramEnd"/>
            <w:r w:rsidRPr="00A82544">
              <w:rPr>
                <w:rFonts w:ascii="Times New Roman" w:hAnsi="Times New Roman" w:cs="Times New Roman"/>
                <w:sz w:val="27"/>
                <w:szCs w:val="27"/>
              </w:rPr>
              <w:t xml:space="preserve"> согласно правилам благоустройства</w:t>
            </w:r>
          </w:p>
          <w:p w:rsidR="003073FF" w:rsidRPr="00A82544" w:rsidRDefault="003073FF" w:rsidP="00297BC4">
            <w:pPr>
              <w:jc w:val="center"/>
              <w:rPr>
                <w:rFonts w:ascii="Times New Roman" w:hAnsi="Times New Roman" w:cs="Times New Roman"/>
                <w:sz w:val="27"/>
                <w:szCs w:val="27"/>
              </w:rPr>
            </w:pPr>
          </w:p>
        </w:tc>
        <w:tc>
          <w:tcPr>
            <w:tcW w:w="1270" w:type="dxa"/>
            <w:vMerge w:val="restart"/>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5</w:t>
            </w:r>
          </w:p>
        </w:tc>
      </w:tr>
      <w:tr w:rsidR="003073FF" w:rsidRPr="00A82544" w:rsidTr="00297BC4">
        <w:tc>
          <w:tcPr>
            <w:tcW w:w="993" w:type="dxa"/>
            <w:vMerge/>
            <w:tcBorders>
              <w:right w:val="single" w:sz="4" w:space="0" w:color="auto"/>
            </w:tcBorders>
          </w:tcPr>
          <w:p w:rsidR="003073FF" w:rsidRPr="00A82544" w:rsidRDefault="003073FF" w:rsidP="00297BC4">
            <w:pPr>
              <w:jc w:val="center"/>
              <w:rPr>
                <w:rFonts w:ascii="Times New Roman" w:hAnsi="Times New Roman" w:cs="Times New Roman"/>
                <w:sz w:val="27"/>
                <w:szCs w:val="27"/>
              </w:rPr>
            </w:pPr>
          </w:p>
        </w:tc>
        <w:tc>
          <w:tcPr>
            <w:tcW w:w="3780" w:type="dxa"/>
            <w:tcBorders>
              <w:top w:val="nil"/>
              <w:left w:val="single" w:sz="4" w:space="0" w:color="auto"/>
              <w:bottom w:val="single" w:sz="4" w:space="0" w:color="auto"/>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для автолавок, автоцистерн, автофургонов и т.п. – фотография и заверенная заявителем копия паспорта транспортного средства</w:t>
            </w:r>
          </w:p>
        </w:tc>
        <w:tc>
          <w:tcPr>
            <w:tcW w:w="3307" w:type="dxa"/>
            <w:vMerge/>
            <w:tcBorders>
              <w:left w:val="single" w:sz="4" w:space="0" w:color="auto"/>
              <w:bottom w:val="single" w:sz="4" w:space="0" w:color="auto"/>
            </w:tcBorders>
          </w:tcPr>
          <w:p w:rsidR="003073FF" w:rsidRPr="00A82544" w:rsidRDefault="003073FF" w:rsidP="00297BC4">
            <w:pPr>
              <w:jc w:val="center"/>
              <w:rPr>
                <w:rFonts w:ascii="Times New Roman" w:hAnsi="Times New Roman" w:cs="Times New Roman"/>
                <w:sz w:val="27"/>
                <w:szCs w:val="27"/>
              </w:rPr>
            </w:pPr>
          </w:p>
        </w:tc>
        <w:tc>
          <w:tcPr>
            <w:tcW w:w="1270" w:type="dxa"/>
            <w:vMerge/>
            <w:tcBorders>
              <w:bottom w:val="single" w:sz="4" w:space="0" w:color="auto"/>
            </w:tcBorders>
          </w:tcPr>
          <w:p w:rsidR="003073FF" w:rsidRPr="00A82544" w:rsidRDefault="003073FF" w:rsidP="00297BC4">
            <w:pPr>
              <w:jc w:val="center"/>
              <w:rPr>
                <w:rFonts w:ascii="Times New Roman" w:hAnsi="Times New Roman" w:cs="Times New Roman"/>
                <w:sz w:val="27"/>
                <w:szCs w:val="27"/>
              </w:rPr>
            </w:pPr>
          </w:p>
        </w:tc>
      </w:tr>
      <w:tr w:rsidR="003073FF" w:rsidRPr="00A82544" w:rsidTr="00297BC4">
        <w:tc>
          <w:tcPr>
            <w:tcW w:w="993" w:type="dxa"/>
            <w:vMerge w:val="restart"/>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2</w:t>
            </w:r>
          </w:p>
        </w:tc>
        <w:tc>
          <w:tcPr>
            <w:tcW w:w="3780" w:type="dxa"/>
            <w:vMerge w:val="restart"/>
            <w:tcBorders>
              <w:top w:val="single" w:sz="4" w:space="0" w:color="auto"/>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Сведения об оснащении торгово-технологическим оборудованием и инвентарем (в зависимости от специализации объекта)</w:t>
            </w:r>
          </w:p>
        </w:tc>
        <w:tc>
          <w:tcPr>
            <w:tcW w:w="3307" w:type="dxa"/>
            <w:tcBorders>
              <w:top w:val="single" w:sz="4" w:space="0" w:color="auto"/>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Наличие торгово-технологического оборудования сроком выпуска:</w:t>
            </w:r>
          </w:p>
          <w:p w:rsidR="003073FF" w:rsidRPr="00A82544" w:rsidRDefault="003073FF" w:rsidP="00297BC4">
            <w:pPr>
              <w:jc w:val="center"/>
              <w:rPr>
                <w:rFonts w:ascii="Times New Roman" w:hAnsi="Times New Roman" w:cs="Times New Roman"/>
                <w:sz w:val="27"/>
                <w:szCs w:val="27"/>
              </w:rPr>
            </w:pPr>
          </w:p>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 не более 2-х лет</w:t>
            </w:r>
          </w:p>
          <w:p w:rsidR="003073FF" w:rsidRPr="00A82544" w:rsidRDefault="003073FF" w:rsidP="00297BC4">
            <w:pPr>
              <w:jc w:val="center"/>
              <w:rPr>
                <w:rFonts w:ascii="Times New Roman" w:hAnsi="Times New Roman" w:cs="Times New Roman"/>
                <w:sz w:val="27"/>
                <w:szCs w:val="27"/>
              </w:rPr>
            </w:pPr>
          </w:p>
        </w:tc>
        <w:tc>
          <w:tcPr>
            <w:tcW w:w="1270" w:type="dxa"/>
            <w:tcBorders>
              <w:top w:val="single" w:sz="4" w:space="0" w:color="auto"/>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p>
          <w:p w:rsidR="003073FF" w:rsidRPr="00A82544" w:rsidRDefault="003073FF" w:rsidP="00297BC4">
            <w:pPr>
              <w:jc w:val="center"/>
              <w:rPr>
                <w:rFonts w:ascii="Times New Roman" w:hAnsi="Times New Roman" w:cs="Times New Roman"/>
                <w:sz w:val="27"/>
                <w:szCs w:val="27"/>
              </w:rPr>
            </w:pPr>
          </w:p>
          <w:p w:rsidR="003073FF" w:rsidRPr="00A82544" w:rsidRDefault="003073FF" w:rsidP="00297BC4">
            <w:pPr>
              <w:jc w:val="center"/>
              <w:rPr>
                <w:rFonts w:ascii="Times New Roman" w:hAnsi="Times New Roman" w:cs="Times New Roman"/>
                <w:sz w:val="27"/>
                <w:szCs w:val="27"/>
              </w:rPr>
            </w:pPr>
          </w:p>
          <w:p w:rsidR="003073FF" w:rsidRPr="00A82544" w:rsidRDefault="003073FF" w:rsidP="00297BC4">
            <w:pPr>
              <w:jc w:val="center"/>
              <w:rPr>
                <w:rFonts w:ascii="Times New Roman" w:hAnsi="Times New Roman" w:cs="Times New Roman"/>
                <w:sz w:val="27"/>
                <w:szCs w:val="27"/>
              </w:rPr>
            </w:pPr>
          </w:p>
          <w:p w:rsidR="003073FF" w:rsidRPr="00A82544" w:rsidRDefault="003073FF" w:rsidP="00297BC4">
            <w:pPr>
              <w:jc w:val="center"/>
              <w:rPr>
                <w:rFonts w:ascii="Times New Roman" w:hAnsi="Times New Roman" w:cs="Times New Roman"/>
                <w:sz w:val="27"/>
                <w:szCs w:val="27"/>
              </w:rPr>
            </w:pPr>
          </w:p>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10</w:t>
            </w:r>
          </w:p>
        </w:tc>
      </w:tr>
      <w:tr w:rsidR="003073FF" w:rsidRPr="00A82544" w:rsidTr="00297BC4">
        <w:tc>
          <w:tcPr>
            <w:tcW w:w="993" w:type="dxa"/>
            <w:vMerge/>
          </w:tcPr>
          <w:p w:rsidR="003073FF" w:rsidRPr="00A82544" w:rsidRDefault="003073FF" w:rsidP="00297BC4">
            <w:pPr>
              <w:jc w:val="center"/>
              <w:rPr>
                <w:rFonts w:ascii="Times New Roman" w:hAnsi="Times New Roman" w:cs="Times New Roman"/>
                <w:sz w:val="27"/>
                <w:szCs w:val="27"/>
              </w:rPr>
            </w:pPr>
          </w:p>
        </w:tc>
        <w:tc>
          <w:tcPr>
            <w:tcW w:w="3780" w:type="dxa"/>
            <w:vMerge/>
            <w:tcBorders>
              <w:right w:val="single" w:sz="4" w:space="0" w:color="auto"/>
            </w:tcBorders>
          </w:tcPr>
          <w:p w:rsidR="003073FF" w:rsidRPr="00A82544" w:rsidRDefault="003073FF" w:rsidP="00297BC4">
            <w:pPr>
              <w:jc w:val="center"/>
              <w:rPr>
                <w:rFonts w:ascii="Times New Roman" w:hAnsi="Times New Roman" w:cs="Times New Roman"/>
                <w:sz w:val="27"/>
                <w:szCs w:val="27"/>
              </w:rPr>
            </w:pPr>
          </w:p>
        </w:tc>
        <w:tc>
          <w:tcPr>
            <w:tcW w:w="3307" w:type="dxa"/>
            <w:tcBorders>
              <w:top w:val="nil"/>
              <w:left w:val="single" w:sz="4" w:space="0" w:color="auto"/>
              <w:bottom w:val="single" w:sz="4" w:space="0" w:color="auto"/>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 более 2-х лет</w:t>
            </w:r>
          </w:p>
        </w:tc>
        <w:tc>
          <w:tcPr>
            <w:tcW w:w="1270" w:type="dxa"/>
            <w:tcBorders>
              <w:top w:val="nil"/>
              <w:left w:val="single" w:sz="4" w:space="0" w:color="auto"/>
              <w:bottom w:val="single" w:sz="4" w:space="0" w:color="auto"/>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5</w:t>
            </w:r>
          </w:p>
        </w:tc>
      </w:tr>
      <w:tr w:rsidR="003073FF" w:rsidRPr="00A82544" w:rsidTr="00297BC4">
        <w:tc>
          <w:tcPr>
            <w:tcW w:w="993" w:type="dxa"/>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3</w:t>
            </w:r>
          </w:p>
        </w:tc>
        <w:tc>
          <w:tcPr>
            <w:tcW w:w="3780" w:type="dxa"/>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Сведения об ассортименте планируемой к реализации продукции (с учетом специализации)</w:t>
            </w:r>
          </w:p>
        </w:tc>
        <w:tc>
          <w:tcPr>
            <w:tcW w:w="3307" w:type="dxa"/>
            <w:tcBorders>
              <w:top w:val="single" w:sz="4" w:space="0" w:color="auto"/>
              <w:bottom w:val="single" w:sz="4" w:space="0" w:color="auto"/>
            </w:tcBorders>
          </w:tcPr>
          <w:p w:rsidR="003073FF" w:rsidRPr="00A82544" w:rsidRDefault="003073FF" w:rsidP="00297BC4">
            <w:pPr>
              <w:jc w:val="center"/>
              <w:rPr>
                <w:rFonts w:ascii="Times New Roman" w:hAnsi="Times New Roman" w:cs="Times New Roman"/>
                <w:sz w:val="27"/>
                <w:szCs w:val="27"/>
              </w:rPr>
            </w:pPr>
            <w:proofErr w:type="gramStart"/>
            <w:r w:rsidRPr="00A82544">
              <w:rPr>
                <w:rFonts w:ascii="Times New Roman" w:hAnsi="Times New Roman" w:cs="Times New Roman"/>
                <w:sz w:val="27"/>
                <w:szCs w:val="27"/>
              </w:rPr>
              <w:t>Наличие ассортиментного перечня планируемой к реализации</w:t>
            </w:r>
            <w:proofErr w:type="gramEnd"/>
          </w:p>
        </w:tc>
        <w:tc>
          <w:tcPr>
            <w:tcW w:w="1270" w:type="dxa"/>
            <w:tcBorders>
              <w:top w:val="single" w:sz="4" w:space="0" w:color="auto"/>
              <w:bottom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5</w:t>
            </w:r>
          </w:p>
        </w:tc>
      </w:tr>
      <w:tr w:rsidR="003073FF" w:rsidRPr="00A82544" w:rsidTr="00297BC4">
        <w:tc>
          <w:tcPr>
            <w:tcW w:w="993" w:type="dxa"/>
            <w:vMerge w:val="restart"/>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4</w:t>
            </w:r>
          </w:p>
        </w:tc>
        <w:tc>
          <w:tcPr>
            <w:tcW w:w="3780" w:type="dxa"/>
            <w:vMerge w:val="restart"/>
            <w:tcBorders>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Сведения о количестве создаваемых рабочих мест</w:t>
            </w:r>
          </w:p>
        </w:tc>
        <w:tc>
          <w:tcPr>
            <w:tcW w:w="3307" w:type="dxa"/>
            <w:tcBorders>
              <w:top w:val="single" w:sz="4" w:space="0" w:color="auto"/>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Более 3 работников</w:t>
            </w:r>
          </w:p>
        </w:tc>
        <w:tc>
          <w:tcPr>
            <w:tcW w:w="1270" w:type="dxa"/>
            <w:tcBorders>
              <w:top w:val="single" w:sz="4" w:space="0" w:color="auto"/>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10</w:t>
            </w:r>
          </w:p>
        </w:tc>
      </w:tr>
      <w:tr w:rsidR="003073FF" w:rsidRPr="00A82544" w:rsidTr="00297BC4">
        <w:tc>
          <w:tcPr>
            <w:tcW w:w="993" w:type="dxa"/>
            <w:vMerge/>
          </w:tcPr>
          <w:p w:rsidR="003073FF" w:rsidRPr="00A82544" w:rsidRDefault="003073FF" w:rsidP="00297BC4">
            <w:pPr>
              <w:jc w:val="center"/>
              <w:rPr>
                <w:rFonts w:ascii="Times New Roman" w:hAnsi="Times New Roman" w:cs="Times New Roman"/>
                <w:sz w:val="27"/>
                <w:szCs w:val="27"/>
              </w:rPr>
            </w:pPr>
          </w:p>
        </w:tc>
        <w:tc>
          <w:tcPr>
            <w:tcW w:w="3780" w:type="dxa"/>
            <w:vMerge/>
            <w:tcBorders>
              <w:right w:val="single" w:sz="4" w:space="0" w:color="auto"/>
            </w:tcBorders>
          </w:tcPr>
          <w:p w:rsidR="003073FF" w:rsidRPr="00A82544" w:rsidRDefault="003073FF" w:rsidP="00297BC4">
            <w:pPr>
              <w:jc w:val="center"/>
              <w:rPr>
                <w:rFonts w:ascii="Times New Roman" w:hAnsi="Times New Roman" w:cs="Times New Roman"/>
                <w:sz w:val="27"/>
                <w:szCs w:val="27"/>
              </w:rPr>
            </w:pPr>
          </w:p>
        </w:tc>
        <w:tc>
          <w:tcPr>
            <w:tcW w:w="3307" w:type="dxa"/>
            <w:tcBorders>
              <w:top w:val="nil"/>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2 работника</w:t>
            </w:r>
          </w:p>
        </w:tc>
        <w:tc>
          <w:tcPr>
            <w:tcW w:w="1270" w:type="dxa"/>
            <w:tcBorders>
              <w:top w:val="nil"/>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8</w:t>
            </w:r>
          </w:p>
        </w:tc>
      </w:tr>
      <w:tr w:rsidR="003073FF" w:rsidRPr="00A82544" w:rsidTr="00297BC4">
        <w:tc>
          <w:tcPr>
            <w:tcW w:w="993" w:type="dxa"/>
            <w:vMerge/>
          </w:tcPr>
          <w:p w:rsidR="003073FF" w:rsidRPr="00A82544" w:rsidRDefault="003073FF" w:rsidP="00297BC4">
            <w:pPr>
              <w:jc w:val="center"/>
              <w:rPr>
                <w:rFonts w:ascii="Times New Roman" w:hAnsi="Times New Roman" w:cs="Times New Roman"/>
                <w:sz w:val="27"/>
                <w:szCs w:val="27"/>
              </w:rPr>
            </w:pPr>
          </w:p>
        </w:tc>
        <w:tc>
          <w:tcPr>
            <w:tcW w:w="3780" w:type="dxa"/>
            <w:vMerge/>
            <w:tcBorders>
              <w:right w:val="single" w:sz="4" w:space="0" w:color="auto"/>
            </w:tcBorders>
          </w:tcPr>
          <w:p w:rsidR="003073FF" w:rsidRPr="00A82544" w:rsidRDefault="003073FF" w:rsidP="00297BC4">
            <w:pPr>
              <w:jc w:val="center"/>
              <w:rPr>
                <w:rFonts w:ascii="Times New Roman" w:hAnsi="Times New Roman" w:cs="Times New Roman"/>
                <w:sz w:val="27"/>
                <w:szCs w:val="27"/>
              </w:rPr>
            </w:pPr>
          </w:p>
        </w:tc>
        <w:tc>
          <w:tcPr>
            <w:tcW w:w="3307" w:type="dxa"/>
            <w:tcBorders>
              <w:top w:val="nil"/>
              <w:left w:val="single" w:sz="4" w:space="0" w:color="auto"/>
              <w:bottom w:val="single" w:sz="4" w:space="0" w:color="auto"/>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1 работник</w:t>
            </w:r>
          </w:p>
        </w:tc>
        <w:tc>
          <w:tcPr>
            <w:tcW w:w="1270" w:type="dxa"/>
            <w:tcBorders>
              <w:top w:val="nil"/>
              <w:left w:val="single" w:sz="4" w:space="0" w:color="auto"/>
              <w:bottom w:val="single" w:sz="4" w:space="0" w:color="auto"/>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5</w:t>
            </w:r>
          </w:p>
        </w:tc>
      </w:tr>
      <w:tr w:rsidR="003073FF" w:rsidRPr="00A82544" w:rsidTr="00297BC4">
        <w:tc>
          <w:tcPr>
            <w:tcW w:w="993" w:type="dxa"/>
            <w:vMerge w:val="restart"/>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lastRenderedPageBreak/>
              <w:t>5</w:t>
            </w:r>
          </w:p>
        </w:tc>
        <w:tc>
          <w:tcPr>
            <w:tcW w:w="3780" w:type="dxa"/>
            <w:vMerge w:val="restart"/>
            <w:tcBorders>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Планируемый уровень среднемесячной заработной платы работников</w:t>
            </w:r>
          </w:p>
        </w:tc>
        <w:tc>
          <w:tcPr>
            <w:tcW w:w="3307" w:type="dxa"/>
            <w:tcBorders>
              <w:top w:val="single" w:sz="4" w:space="0" w:color="auto"/>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свыше 26 тыс. руб.</w:t>
            </w:r>
          </w:p>
        </w:tc>
        <w:tc>
          <w:tcPr>
            <w:tcW w:w="1270" w:type="dxa"/>
            <w:tcBorders>
              <w:top w:val="single" w:sz="4" w:space="0" w:color="auto"/>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10</w:t>
            </w:r>
          </w:p>
        </w:tc>
      </w:tr>
      <w:tr w:rsidR="003073FF" w:rsidRPr="00A82544" w:rsidTr="00297BC4">
        <w:tc>
          <w:tcPr>
            <w:tcW w:w="993" w:type="dxa"/>
            <w:vMerge/>
          </w:tcPr>
          <w:p w:rsidR="003073FF" w:rsidRPr="00A82544" w:rsidRDefault="003073FF" w:rsidP="00297BC4">
            <w:pPr>
              <w:jc w:val="center"/>
              <w:rPr>
                <w:rFonts w:ascii="Times New Roman" w:hAnsi="Times New Roman" w:cs="Times New Roman"/>
                <w:sz w:val="27"/>
                <w:szCs w:val="27"/>
              </w:rPr>
            </w:pPr>
          </w:p>
        </w:tc>
        <w:tc>
          <w:tcPr>
            <w:tcW w:w="3780" w:type="dxa"/>
            <w:vMerge/>
            <w:tcBorders>
              <w:right w:val="single" w:sz="4" w:space="0" w:color="auto"/>
            </w:tcBorders>
          </w:tcPr>
          <w:p w:rsidR="003073FF" w:rsidRPr="00A82544" w:rsidRDefault="003073FF" w:rsidP="00297BC4">
            <w:pPr>
              <w:jc w:val="center"/>
              <w:rPr>
                <w:rFonts w:ascii="Times New Roman" w:hAnsi="Times New Roman" w:cs="Times New Roman"/>
                <w:sz w:val="27"/>
                <w:szCs w:val="27"/>
              </w:rPr>
            </w:pPr>
          </w:p>
        </w:tc>
        <w:tc>
          <w:tcPr>
            <w:tcW w:w="3307" w:type="dxa"/>
            <w:tcBorders>
              <w:top w:val="nil"/>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от 20 до 26 тыс. руб.</w:t>
            </w:r>
          </w:p>
        </w:tc>
        <w:tc>
          <w:tcPr>
            <w:tcW w:w="1270" w:type="dxa"/>
            <w:tcBorders>
              <w:top w:val="nil"/>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8</w:t>
            </w:r>
          </w:p>
        </w:tc>
      </w:tr>
      <w:tr w:rsidR="003073FF" w:rsidRPr="00A82544" w:rsidTr="00297BC4">
        <w:tc>
          <w:tcPr>
            <w:tcW w:w="993" w:type="dxa"/>
            <w:vMerge/>
          </w:tcPr>
          <w:p w:rsidR="003073FF" w:rsidRPr="00A82544" w:rsidRDefault="003073FF" w:rsidP="00297BC4">
            <w:pPr>
              <w:jc w:val="center"/>
              <w:rPr>
                <w:rFonts w:ascii="Times New Roman" w:hAnsi="Times New Roman" w:cs="Times New Roman"/>
                <w:sz w:val="27"/>
                <w:szCs w:val="27"/>
              </w:rPr>
            </w:pPr>
          </w:p>
        </w:tc>
        <w:tc>
          <w:tcPr>
            <w:tcW w:w="3780" w:type="dxa"/>
            <w:vMerge/>
            <w:tcBorders>
              <w:right w:val="single" w:sz="4" w:space="0" w:color="auto"/>
            </w:tcBorders>
          </w:tcPr>
          <w:p w:rsidR="003073FF" w:rsidRPr="00A82544" w:rsidRDefault="003073FF" w:rsidP="00297BC4">
            <w:pPr>
              <w:jc w:val="center"/>
              <w:rPr>
                <w:rFonts w:ascii="Times New Roman" w:hAnsi="Times New Roman" w:cs="Times New Roman"/>
                <w:sz w:val="27"/>
                <w:szCs w:val="27"/>
              </w:rPr>
            </w:pPr>
          </w:p>
        </w:tc>
        <w:tc>
          <w:tcPr>
            <w:tcW w:w="3307" w:type="dxa"/>
            <w:tcBorders>
              <w:top w:val="nil"/>
              <w:left w:val="single" w:sz="4" w:space="0" w:color="auto"/>
              <w:bottom w:val="single" w:sz="4" w:space="0" w:color="auto"/>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до 20 тыс. руб.</w:t>
            </w:r>
          </w:p>
        </w:tc>
        <w:tc>
          <w:tcPr>
            <w:tcW w:w="1270" w:type="dxa"/>
            <w:tcBorders>
              <w:top w:val="nil"/>
              <w:left w:val="single" w:sz="4" w:space="0" w:color="auto"/>
              <w:bottom w:val="single" w:sz="4" w:space="0" w:color="auto"/>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5</w:t>
            </w:r>
          </w:p>
        </w:tc>
      </w:tr>
      <w:tr w:rsidR="003073FF" w:rsidRPr="00A82544" w:rsidTr="00297BC4">
        <w:tc>
          <w:tcPr>
            <w:tcW w:w="993" w:type="dxa"/>
            <w:vMerge w:val="restart"/>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6</w:t>
            </w:r>
          </w:p>
        </w:tc>
        <w:tc>
          <w:tcPr>
            <w:tcW w:w="3780" w:type="dxa"/>
            <w:vMerge w:val="restart"/>
            <w:tcBorders>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Цена, предлагаемая участником конкурса на право заключения договора на размещение нестационарного торгового объекта</w:t>
            </w:r>
          </w:p>
        </w:tc>
        <w:tc>
          <w:tcPr>
            <w:tcW w:w="3307" w:type="dxa"/>
            <w:tcBorders>
              <w:top w:val="single" w:sz="4" w:space="0" w:color="auto"/>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более 80% выше начальной цены конкурса</w:t>
            </w:r>
          </w:p>
        </w:tc>
        <w:tc>
          <w:tcPr>
            <w:tcW w:w="1270" w:type="dxa"/>
            <w:tcBorders>
              <w:top w:val="single" w:sz="4" w:space="0" w:color="auto"/>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60</w:t>
            </w:r>
          </w:p>
        </w:tc>
      </w:tr>
      <w:tr w:rsidR="003073FF" w:rsidRPr="00A82544" w:rsidTr="00297BC4">
        <w:tc>
          <w:tcPr>
            <w:tcW w:w="993" w:type="dxa"/>
            <w:vMerge/>
          </w:tcPr>
          <w:p w:rsidR="003073FF" w:rsidRPr="00A82544" w:rsidRDefault="003073FF" w:rsidP="00297BC4">
            <w:pPr>
              <w:jc w:val="center"/>
              <w:rPr>
                <w:rFonts w:ascii="Times New Roman" w:hAnsi="Times New Roman" w:cs="Times New Roman"/>
                <w:sz w:val="27"/>
                <w:szCs w:val="27"/>
              </w:rPr>
            </w:pPr>
          </w:p>
        </w:tc>
        <w:tc>
          <w:tcPr>
            <w:tcW w:w="3780" w:type="dxa"/>
            <w:vMerge/>
            <w:tcBorders>
              <w:right w:val="single" w:sz="4" w:space="0" w:color="auto"/>
            </w:tcBorders>
          </w:tcPr>
          <w:p w:rsidR="003073FF" w:rsidRPr="00A82544" w:rsidRDefault="003073FF" w:rsidP="00297BC4">
            <w:pPr>
              <w:jc w:val="center"/>
              <w:rPr>
                <w:rFonts w:ascii="Times New Roman" w:hAnsi="Times New Roman" w:cs="Times New Roman"/>
                <w:sz w:val="27"/>
                <w:szCs w:val="27"/>
              </w:rPr>
            </w:pPr>
          </w:p>
        </w:tc>
        <w:tc>
          <w:tcPr>
            <w:tcW w:w="3307" w:type="dxa"/>
            <w:tcBorders>
              <w:top w:val="nil"/>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от 60% до 80% выше начальной цены конкурса</w:t>
            </w:r>
          </w:p>
        </w:tc>
        <w:tc>
          <w:tcPr>
            <w:tcW w:w="1270" w:type="dxa"/>
            <w:tcBorders>
              <w:top w:val="nil"/>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55</w:t>
            </w:r>
          </w:p>
        </w:tc>
      </w:tr>
      <w:tr w:rsidR="003073FF" w:rsidRPr="00A82544" w:rsidTr="00297BC4">
        <w:tc>
          <w:tcPr>
            <w:tcW w:w="993" w:type="dxa"/>
            <w:vMerge/>
          </w:tcPr>
          <w:p w:rsidR="003073FF" w:rsidRPr="00A82544" w:rsidRDefault="003073FF" w:rsidP="00297BC4">
            <w:pPr>
              <w:jc w:val="center"/>
              <w:rPr>
                <w:rFonts w:ascii="Times New Roman" w:hAnsi="Times New Roman" w:cs="Times New Roman"/>
                <w:sz w:val="27"/>
                <w:szCs w:val="27"/>
              </w:rPr>
            </w:pPr>
          </w:p>
        </w:tc>
        <w:tc>
          <w:tcPr>
            <w:tcW w:w="3780" w:type="dxa"/>
            <w:vMerge/>
            <w:tcBorders>
              <w:right w:val="single" w:sz="4" w:space="0" w:color="auto"/>
            </w:tcBorders>
          </w:tcPr>
          <w:p w:rsidR="003073FF" w:rsidRPr="00A82544" w:rsidRDefault="003073FF" w:rsidP="00297BC4">
            <w:pPr>
              <w:jc w:val="center"/>
              <w:rPr>
                <w:rFonts w:ascii="Times New Roman" w:hAnsi="Times New Roman" w:cs="Times New Roman"/>
                <w:sz w:val="27"/>
                <w:szCs w:val="27"/>
              </w:rPr>
            </w:pPr>
          </w:p>
        </w:tc>
        <w:tc>
          <w:tcPr>
            <w:tcW w:w="3307" w:type="dxa"/>
            <w:tcBorders>
              <w:top w:val="nil"/>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от 50% до 60% выше начальной цены конкурса</w:t>
            </w:r>
          </w:p>
        </w:tc>
        <w:tc>
          <w:tcPr>
            <w:tcW w:w="1270" w:type="dxa"/>
            <w:tcBorders>
              <w:top w:val="nil"/>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50</w:t>
            </w:r>
          </w:p>
        </w:tc>
      </w:tr>
      <w:tr w:rsidR="003073FF" w:rsidRPr="00A82544" w:rsidTr="00297BC4">
        <w:tc>
          <w:tcPr>
            <w:tcW w:w="993" w:type="dxa"/>
            <w:vMerge/>
          </w:tcPr>
          <w:p w:rsidR="003073FF" w:rsidRPr="00A82544" w:rsidRDefault="003073FF" w:rsidP="00297BC4">
            <w:pPr>
              <w:jc w:val="center"/>
              <w:rPr>
                <w:rFonts w:ascii="Times New Roman" w:hAnsi="Times New Roman" w:cs="Times New Roman"/>
                <w:sz w:val="27"/>
                <w:szCs w:val="27"/>
              </w:rPr>
            </w:pPr>
          </w:p>
        </w:tc>
        <w:tc>
          <w:tcPr>
            <w:tcW w:w="3780" w:type="dxa"/>
            <w:vMerge/>
            <w:tcBorders>
              <w:right w:val="single" w:sz="4" w:space="0" w:color="auto"/>
            </w:tcBorders>
          </w:tcPr>
          <w:p w:rsidR="003073FF" w:rsidRPr="00A82544" w:rsidRDefault="003073FF" w:rsidP="00297BC4">
            <w:pPr>
              <w:jc w:val="center"/>
              <w:rPr>
                <w:rFonts w:ascii="Times New Roman" w:hAnsi="Times New Roman" w:cs="Times New Roman"/>
                <w:sz w:val="27"/>
                <w:szCs w:val="27"/>
              </w:rPr>
            </w:pPr>
          </w:p>
        </w:tc>
        <w:tc>
          <w:tcPr>
            <w:tcW w:w="3307" w:type="dxa"/>
            <w:tcBorders>
              <w:top w:val="nil"/>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от 40% до 50% выше начальной цены конкурса</w:t>
            </w:r>
          </w:p>
        </w:tc>
        <w:tc>
          <w:tcPr>
            <w:tcW w:w="1270" w:type="dxa"/>
            <w:tcBorders>
              <w:top w:val="nil"/>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45</w:t>
            </w:r>
          </w:p>
        </w:tc>
      </w:tr>
      <w:tr w:rsidR="003073FF" w:rsidRPr="00A82544" w:rsidTr="00297BC4">
        <w:tc>
          <w:tcPr>
            <w:tcW w:w="993" w:type="dxa"/>
            <w:vMerge/>
          </w:tcPr>
          <w:p w:rsidR="003073FF" w:rsidRPr="00A82544" w:rsidRDefault="003073FF" w:rsidP="00297BC4">
            <w:pPr>
              <w:jc w:val="center"/>
              <w:rPr>
                <w:rFonts w:ascii="Times New Roman" w:hAnsi="Times New Roman" w:cs="Times New Roman"/>
                <w:sz w:val="27"/>
                <w:szCs w:val="27"/>
              </w:rPr>
            </w:pPr>
          </w:p>
        </w:tc>
        <w:tc>
          <w:tcPr>
            <w:tcW w:w="3780" w:type="dxa"/>
            <w:vMerge/>
            <w:tcBorders>
              <w:right w:val="single" w:sz="4" w:space="0" w:color="auto"/>
            </w:tcBorders>
          </w:tcPr>
          <w:p w:rsidR="003073FF" w:rsidRPr="00A82544" w:rsidRDefault="003073FF" w:rsidP="00297BC4">
            <w:pPr>
              <w:jc w:val="center"/>
              <w:rPr>
                <w:rFonts w:ascii="Times New Roman" w:hAnsi="Times New Roman" w:cs="Times New Roman"/>
                <w:sz w:val="27"/>
                <w:szCs w:val="27"/>
              </w:rPr>
            </w:pPr>
          </w:p>
        </w:tc>
        <w:tc>
          <w:tcPr>
            <w:tcW w:w="3307" w:type="dxa"/>
            <w:tcBorders>
              <w:top w:val="nil"/>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от 30% до 40% выше начальной цены конкурса</w:t>
            </w:r>
          </w:p>
        </w:tc>
        <w:tc>
          <w:tcPr>
            <w:tcW w:w="1270" w:type="dxa"/>
            <w:tcBorders>
              <w:top w:val="nil"/>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40</w:t>
            </w:r>
          </w:p>
        </w:tc>
      </w:tr>
      <w:tr w:rsidR="003073FF" w:rsidRPr="00A82544" w:rsidTr="00297BC4">
        <w:tc>
          <w:tcPr>
            <w:tcW w:w="993" w:type="dxa"/>
            <w:vMerge/>
          </w:tcPr>
          <w:p w:rsidR="003073FF" w:rsidRPr="00A82544" w:rsidRDefault="003073FF" w:rsidP="00297BC4">
            <w:pPr>
              <w:jc w:val="center"/>
              <w:rPr>
                <w:rFonts w:ascii="Times New Roman" w:hAnsi="Times New Roman" w:cs="Times New Roman"/>
                <w:sz w:val="27"/>
                <w:szCs w:val="27"/>
              </w:rPr>
            </w:pPr>
          </w:p>
        </w:tc>
        <w:tc>
          <w:tcPr>
            <w:tcW w:w="3780" w:type="dxa"/>
            <w:vMerge/>
            <w:tcBorders>
              <w:right w:val="single" w:sz="4" w:space="0" w:color="auto"/>
            </w:tcBorders>
          </w:tcPr>
          <w:p w:rsidR="003073FF" w:rsidRPr="00A82544" w:rsidRDefault="003073FF" w:rsidP="00297BC4">
            <w:pPr>
              <w:jc w:val="center"/>
              <w:rPr>
                <w:rFonts w:ascii="Times New Roman" w:hAnsi="Times New Roman" w:cs="Times New Roman"/>
                <w:sz w:val="27"/>
                <w:szCs w:val="27"/>
              </w:rPr>
            </w:pPr>
          </w:p>
        </w:tc>
        <w:tc>
          <w:tcPr>
            <w:tcW w:w="3307" w:type="dxa"/>
            <w:tcBorders>
              <w:top w:val="nil"/>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от 20% до 30% выше начальной цены конкурса</w:t>
            </w:r>
          </w:p>
        </w:tc>
        <w:tc>
          <w:tcPr>
            <w:tcW w:w="1270" w:type="dxa"/>
            <w:tcBorders>
              <w:top w:val="nil"/>
              <w:left w:val="single" w:sz="4" w:space="0" w:color="auto"/>
              <w:bottom w:val="nil"/>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35</w:t>
            </w:r>
          </w:p>
        </w:tc>
      </w:tr>
      <w:tr w:rsidR="003073FF" w:rsidRPr="00A82544" w:rsidTr="00297BC4">
        <w:tc>
          <w:tcPr>
            <w:tcW w:w="993" w:type="dxa"/>
            <w:vMerge/>
          </w:tcPr>
          <w:p w:rsidR="003073FF" w:rsidRPr="00A82544" w:rsidRDefault="003073FF" w:rsidP="00297BC4">
            <w:pPr>
              <w:jc w:val="center"/>
              <w:rPr>
                <w:rFonts w:ascii="Times New Roman" w:hAnsi="Times New Roman" w:cs="Times New Roman"/>
                <w:sz w:val="27"/>
                <w:szCs w:val="27"/>
              </w:rPr>
            </w:pPr>
          </w:p>
        </w:tc>
        <w:tc>
          <w:tcPr>
            <w:tcW w:w="3780" w:type="dxa"/>
            <w:vMerge/>
            <w:tcBorders>
              <w:right w:val="single" w:sz="4" w:space="0" w:color="auto"/>
            </w:tcBorders>
          </w:tcPr>
          <w:p w:rsidR="003073FF" w:rsidRPr="00A82544" w:rsidRDefault="003073FF" w:rsidP="00297BC4">
            <w:pPr>
              <w:jc w:val="center"/>
              <w:rPr>
                <w:rFonts w:ascii="Times New Roman" w:hAnsi="Times New Roman" w:cs="Times New Roman"/>
                <w:sz w:val="27"/>
                <w:szCs w:val="27"/>
              </w:rPr>
            </w:pPr>
          </w:p>
        </w:tc>
        <w:tc>
          <w:tcPr>
            <w:tcW w:w="3307" w:type="dxa"/>
            <w:tcBorders>
              <w:top w:val="nil"/>
              <w:left w:val="single" w:sz="4" w:space="0" w:color="auto"/>
              <w:bottom w:val="single" w:sz="4" w:space="0" w:color="auto"/>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до 20% выше начальной цены конкурса</w:t>
            </w:r>
          </w:p>
        </w:tc>
        <w:tc>
          <w:tcPr>
            <w:tcW w:w="1270" w:type="dxa"/>
            <w:tcBorders>
              <w:top w:val="nil"/>
              <w:left w:val="single" w:sz="4" w:space="0" w:color="auto"/>
              <w:bottom w:val="single" w:sz="4" w:space="0" w:color="auto"/>
              <w:right w:val="single" w:sz="4" w:space="0" w:color="auto"/>
            </w:tcBorders>
          </w:tcPr>
          <w:p w:rsidR="003073FF" w:rsidRPr="00A82544" w:rsidRDefault="003073FF" w:rsidP="00297BC4">
            <w:pPr>
              <w:jc w:val="center"/>
              <w:rPr>
                <w:rFonts w:ascii="Times New Roman" w:hAnsi="Times New Roman" w:cs="Times New Roman"/>
                <w:sz w:val="27"/>
                <w:szCs w:val="27"/>
              </w:rPr>
            </w:pPr>
            <w:r w:rsidRPr="00A82544">
              <w:rPr>
                <w:rFonts w:ascii="Times New Roman" w:hAnsi="Times New Roman" w:cs="Times New Roman"/>
                <w:sz w:val="27"/>
                <w:szCs w:val="27"/>
              </w:rPr>
              <w:t>30</w:t>
            </w:r>
          </w:p>
        </w:tc>
      </w:tr>
    </w:tbl>
    <w:p w:rsidR="003073FF" w:rsidRPr="00A82544" w:rsidRDefault="003073FF" w:rsidP="003073FF">
      <w:pPr>
        <w:pStyle w:val="a3"/>
        <w:widowControl w:val="0"/>
        <w:numPr>
          <w:ilvl w:val="0"/>
          <w:numId w:val="12"/>
        </w:numPr>
        <w:autoSpaceDE w:val="0"/>
        <w:autoSpaceDN w:val="0"/>
        <w:spacing w:after="0" w:line="240" w:lineRule="auto"/>
        <w:ind w:right="269"/>
        <w:contextualSpacing w:val="0"/>
        <w:jc w:val="both"/>
        <w:rPr>
          <w:rFonts w:ascii="Times New Roman" w:hAnsi="Times New Roman" w:cs="Times New Roman"/>
          <w:sz w:val="27"/>
          <w:szCs w:val="27"/>
        </w:rPr>
      </w:pPr>
      <w:r w:rsidRPr="00A82544">
        <w:rPr>
          <w:rFonts w:ascii="Times New Roman" w:hAnsi="Times New Roman" w:cs="Times New Roman"/>
          <w:sz w:val="27"/>
          <w:szCs w:val="27"/>
        </w:rPr>
        <w:t>Пункт 4 дополнить абзацами следующего содержания:</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«Внесенный Победителем конкурса задаток засчитывается в оплату цены права на заключение договора на размещение нестационарного торгового объекта (объекта по оказанию услуг), сложившейся по итогам проведения конкурса.</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 xml:space="preserve">Участникам конкурса, за исключением победителя конкурса и участника конкурса, заявке на </w:t>
      </w:r>
      <w:proofErr w:type="gramStart"/>
      <w:r w:rsidRPr="00A82544">
        <w:rPr>
          <w:rFonts w:ascii="Times New Roman" w:hAnsi="Times New Roman" w:cs="Times New Roman"/>
          <w:sz w:val="27"/>
          <w:szCs w:val="27"/>
        </w:rPr>
        <w:t>участие</w:t>
      </w:r>
      <w:proofErr w:type="gramEnd"/>
      <w:r w:rsidRPr="00A82544">
        <w:rPr>
          <w:rFonts w:ascii="Times New Roman" w:hAnsi="Times New Roman" w:cs="Times New Roman"/>
          <w:sz w:val="27"/>
          <w:szCs w:val="27"/>
        </w:rPr>
        <w:t xml:space="preserve">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bookmarkStart w:id="9" w:name="l211"/>
      <w:bookmarkEnd w:id="9"/>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 xml:space="preserve">Задаток возвращается участнику конкурса, заявке на </w:t>
      </w:r>
      <w:proofErr w:type="gramStart"/>
      <w:r w:rsidRPr="00A82544">
        <w:rPr>
          <w:rFonts w:ascii="Times New Roman" w:hAnsi="Times New Roman" w:cs="Times New Roman"/>
          <w:sz w:val="27"/>
          <w:szCs w:val="27"/>
        </w:rPr>
        <w:t>участие</w:t>
      </w:r>
      <w:proofErr w:type="gramEnd"/>
      <w:r w:rsidRPr="00A82544">
        <w:rPr>
          <w:rFonts w:ascii="Times New Roman" w:hAnsi="Times New Roman" w:cs="Times New Roman"/>
          <w:sz w:val="27"/>
          <w:szCs w:val="27"/>
        </w:rPr>
        <w:t xml:space="preserve"> в конкурсе которого присвоен второй номер, в течение пяти рабочих дней с даты подписания договора с победителем конкурса.</w:t>
      </w:r>
    </w:p>
    <w:p w:rsidR="003073FF" w:rsidRPr="00A82544" w:rsidRDefault="003073FF" w:rsidP="003073FF">
      <w:pPr>
        <w:spacing w:after="0" w:line="240" w:lineRule="auto"/>
        <w:ind w:firstLine="709"/>
        <w:jc w:val="both"/>
        <w:rPr>
          <w:rFonts w:ascii="Times New Roman" w:hAnsi="Times New Roman" w:cs="Times New Roman"/>
          <w:sz w:val="27"/>
          <w:szCs w:val="27"/>
        </w:rPr>
      </w:pPr>
      <w:r w:rsidRPr="00A82544">
        <w:rPr>
          <w:rFonts w:ascii="Times New Roman" w:hAnsi="Times New Roman" w:cs="Times New Roman"/>
          <w:sz w:val="27"/>
          <w:szCs w:val="27"/>
        </w:rPr>
        <w:t>В случае</w:t>
      </w:r>
      <w:proofErr w:type="gramStart"/>
      <w:r w:rsidRPr="00A82544">
        <w:rPr>
          <w:rFonts w:ascii="Times New Roman" w:hAnsi="Times New Roman" w:cs="Times New Roman"/>
          <w:sz w:val="27"/>
          <w:szCs w:val="27"/>
        </w:rPr>
        <w:t>,</w:t>
      </w:r>
      <w:proofErr w:type="gramEnd"/>
      <w:r w:rsidRPr="00A82544">
        <w:rPr>
          <w:rFonts w:ascii="Times New Roman" w:hAnsi="Times New Roman" w:cs="Times New Roman"/>
          <w:sz w:val="27"/>
          <w:szCs w:val="27"/>
        </w:rPr>
        <w:t xml:space="preserve">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rsidR="003073FF" w:rsidRPr="00A82544" w:rsidRDefault="003073FF" w:rsidP="003073FF">
      <w:pPr>
        <w:ind w:left="1276" w:right="269" w:firstLine="709"/>
        <w:jc w:val="both"/>
        <w:rPr>
          <w:rFonts w:ascii="Times New Roman" w:hAnsi="Times New Roman" w:cs="Times New Roman"/>
          <w:sz w:val="27"/>
          <w:szCs w:val="27"/>
        </w:rPr>
      </w:pPr>
    </w:p>
    <w:p w:rsidR="003073FF" w:rsidRPr="00A82544" w:rsidRDefault="003073FF" w:rsidP="003073FF">
      <w:pPr>
        <w:ind w:left="1276" w:right="269" w:firstLine="709"/>
        <w:jc w:val="both"/>
        <w:rPr>
          <w:rFonts w:ascii="Times New Roman" w:hAnsi="Times New Roman" w:cs="Times New Roman"/>
          <w:sz w:val="27"/>
          <w:szCs w:val="27"/>
        </w:rPr>
      </w:pPr>
    </w:p>
    <w:p w:rsidR="003073FF" w:rsidRPr="00A82544" w:rsidRDefault="003073FF" w:rsidP="003073FF">
      <w:pPr>
        <w:ind w:left="1276" w:right="269" w:firstLine="709"/>
        <w:jc w:val="both"/>
        <w:rPr>
          <w:rFonts w:ascii="Times New Roman" w:hAnsi="Times New Roman" w:cs="Times New Roman"/>
          <w:sz w:val="27"/>
          <w:szCs w:val="27"/>
        </w:rPr>
      </w:pPr>
    </w:p>
    <w:p w:rsidR="003073FF" w:rsidRPr="00A82544" w:rsidRDefault="003073FF" w:rsidP="003073FF">
      <w:pPr>
        <w:ind w:left="1276" w:right="269" w:firstLine="709"/>
        <w:jc w:val="both"/>
        <w:rPr>
          <w:rFonts w:ascii="Times New Roman" w:hAnsi="Times New Roman" w:cs="Times New Roman"/>
          <w:sz w:val="27"/>
          <w:szCs w:val="27"/>
        </w:rPr>
      </w:pPr>
    </w:p>
    <w:p w:rsidR="003073FF" w:rsidRPr="00A82544" w:rsidRDefault="003073FF" w:rsidP="003073FF">
      <w:pPr>
        <w:ind w:left="1276" w:right="269" w:firstLine="709"/>
        <w:jc w:val="both"/>
        <w:rPr>
          <w:rFonts w:ascii="Times New Roman" w:hAnsi="Times New Roman" w:cs="Times New Roman"/>
          <w:sz w:val="27"/>
          <w:szCs w:val="27"/>
        </w:rPr>
      </w:pPr>
    </w:p>
    <w:p w:rsidR="003073FF" w:rsidRPr="00A82544" w:rsidRDefault="003073FF" w:rsidP="003073FF">
      <w:pPr>
        <w:spacing w:after="0" w:line="240" w:lineRule="auto"/>
        <w:ind w:left="-426" w:firstLine="426"/>
        <w:rPr>
          <w:rFonts w:ascii="Times New Roman" w:hAnsi="Times New Roman" w:cs="Times New Roman"/>
          <w:sz w:val="27"/>
          <w:szCs w:val="27"/>
        </w:rPr>
      </w:pPr>
    </w:p>
    <w:p w:rsidR="00D93885" w:rsidRPr="00A82544" w:rsidRDefault="00D93885" w:rsidP="003073FF">
      <w:pPr>
        <w:tabs>
          <w:tab w:val="left" w:pos="360"/>
          <w:tab w:val="left" w:pos="540"/>
        </w:tabs>
        <w:autoSpaceDE w:val="0"/>
        <w:autoSpaceDN w:val="0"/>
        <w:adjustRightInd w:val="0"/>
        <w:spacing w:after="0" w:line="240" w:lineRule="auto"/>
        <w:ind w:firstLine="709"/>
        <w:rPr>
          <w:rFonts w:ascii="Times New Roman" w:hAnsi="Times New Roman" w:cs="Times New Roman"/>
          <w:sz w:val="27"/>
          <w:szCs w:val="27"/>
        </w:rPr>
      </w:pPr>
    </w:p>
    <w:sectPr w:rsidR="00D93885" w:rsidRPr="00A82544" w:rsidSect="0083001B">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641"/>
    <w:multiLevelType w:val="hybridMultilevel"/>
    <w:tmpl w:val="581CB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A1023"/>
    <w:multiLevelType w:val="hybridMultilevel"/>
    <w:tmpl w:val="512684E0"/>
    <w:lvl w:ilvl="0" w:tplc="A8788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061846"/>
    <w:multiLevelType w:val="hybridMultilevel"/>
    <w:tmpl w:val="BCC2D8C8"/>
    <w:lvl w:ilvl="0" w:tplc="22708A00">
      <w:start w:val="1"/>
      <w:numFmt w:val="decimal"/>
      <w:lvlText w:val="%1)"/>
      <w:lvlJc w:val="left"/>
      <w:pPr>
        <w:ind w:left="692" w:hanging="413"/>
      </w:pPr>
      <w:rPr>
        <w:rFonts w:ascii="Times New Roman" w:eastAsia="Times New Roman" w:hAnsi="Times New Roman" w:cs="Times New Roman" w:hint="default"/>
        <w:w w:val="100"/>
        <w:sz w:val="28"/>
        <w:szCs w:val="28"/>
        <w:lang w:val="ru-RU" w:eastAsia="en-US" w:bidi="ar-SA"/>
      </w:rPr>
    </w:lvl>
    <w:lvl w:ilvl="1" w:tplc="89E221F6">
      <w:numFmt w:val="bullet"/>
      <w:lvlText w:val="•"/>
      <w:lvlJc w:val="left"/>
      <w:pPr>
        <w:ind w:left="1752" w:hanging="413"/>
      </w:pPr>
      <w:rPr>
        <w:rFonts w:hint="default"/>
        <w:lang w:val="ru-RU" w:eastAsia="en-US" w:bidi="ar-SA"/>
      </w:rPr>
    </w:lvl>
    <w:lvl w:ilvl="2" w:tplc="61B4AD02">
      <w:numFmt w:val="bullet"/>
      <w:lvlText w:val="•"/>
      <w:lvlJc w:val="left"/>
      <w:pPr>
        <w:ind w:left="2805" w:hanging="413"/>
      </w:pPr>
      <w:rPr>
        <w:rFonts w:hint="default"/>
        <w:lang w:val="ru-RU" w:eastAsia="en-US" w:bidi="ar-SA"/>
      </w:rPr>
    </w:lvl>
    <w:lvl w:ilvl="3" w:tplc="B3100CDE">
      <w:numFmt w:val="bullet"/>
      <w:lvlText w:val="•"/>
      <w:lvlJc w:val="left"/>
      <w:pPr>
        <w:ind w:left="3857" w:hanging="413"/>
      </w:pPr>
      <w:rPr>
        <w:rFonts w:hint="default"/>
        <w:lang w:val="ru-RU" w:eastAsia="en-US" w:bidi="ar-SA"/>
      </w:rPr>
    </w:lvl>
    <w:lvl w:ilvl="4" w:tplc="F4B6A5BA">
      <w:numFmt w:val="bullet"/>
      <w:lvlText w:val="•"/>
      <w:lvlJc w:val="left"/>
      <w:pPr>
        <w:ind w:left="4910" w:hanging="413"/>
      </w:pPr>
      <w:rPr>
        <w:rFonts w:hint="default"/>
        <w:lang w:val="ru-RU" w:eastAsia="en-US" w:bidi="ar-SA"/>
      </w:rPr>
    </w:lvl>
    <w:lvl w:ilvl="5" w:tplc="437698EA">
      <w:numFmt w:val="bullet"/>
      <w:lvlText w:val="•"/>
      <w:lvlJc w:val="left"/>
      <w:pPr>
        <w:ind w:left="5963" w:hanging="413"/>
      </w:pPr>
      <w:rPr>
        <w:rFonts w:hint="default"/>
        <w:lang w:val="ru-RU" w:eastAsia="en-US" w:bidi="ar-SA"/>
      </w:rPr>
    </w:lvl>
    <w:lvl w:ilvl="6" w:tplc="F6327D1A">
      <w:numFmt w:val="bullet"/>
      <w:lvlText w:val="•"/>
      <w:lvlJc w:val="left"/>
      <w:pPr>
        <w:ind w:left="7015" w:hanging="413"/>
      </w:pPr>
      <w:rPr>
        <w:rFonts w:hint="default"/>
        <w:lang w:val="ru-RU" w:eastAsia="en-US" w:bidi="ar-SA"/>
      </w:rPr>
    </w:lvl>
    <w:lvl w:ilvl="7" w:tplc="B39019DA">
      <w:numFmt w:val="bullet"/>
      <w:lvlText w:val="•"/>
      <w:lvlJc w:val="left"/>
      <w:pPr>
        <w:ind w:left="8068" w:hanging="413"/>
      </w:pPr>
      <w:rPr>
        <w:rFonts w:hint="default"/>
        <w:lang w:val="ru-RU" w:eastAsia="en-US" w:bidi="ar-SA"/>
      </w:rPr>
    </w:lvl>
    <w:lvl w:ilvl="8" w:tplc="1852619C">
      <w:numFmt w:val="bullet"/>
      <w:lvlText w:val="•"/>
      <w:lvlJc w:val="left"/>
      <w:pPr>
        <w:ind w:left="9121" w:hanging="413"/>
      </w:pPr>
      <w:rPr>
        <w:rFonts w:hint="default"/>
        <w:lang w:val="ru-RU" w:eastAsia="en-US" w:bidi="ar-SA"/>
      </w:rPr>
    </w:lvl>
  </w:abstractNum>
  <w:abstractNum w:abstractNumId="3">
    <w:nsid w:val="33F45F31"/>
    <w:multiLevelType w:val="multilevel"/>
    <w:tmpl w:val="928A4A94"/>
    <w:lvl w:ilvl="0">
      <w:start w:val="1"/>
      <w:numFmt w:val="decimal"/>
      <w:lvlText w:val="%1."/>
      <w:lvlJc w:val="left"/>
      <w:pPr>
        <w:ind w:left="1069" w:hanging="360"/>
      </w:pPr>
      <w:rPr>
        <w:rFonts w:hint="default"/>
      </w:rPr>
    </w:lvl>
    <w:lvl w:ilvl="1">
      <w:start w:val="1"/>
      <w:numFmt w:val="decimal"/>
      <w:isLgl/>
      <w:lvlText w:val="%1.%2."/>
      <w:lvlJc w:val="left"/>
      <w:pPr>
        <w:ind w:left="34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3A673C41"/>
    <w:multiLevelType w:val="hybridMultilevel"/>
    <w:tmpl w:val="543AC9E0"/>
    <w:lvl w:ilvl="0" w:tplc="D6DE8178">
      <w:start w:val="1"/>
      <w:numFmt w:val="decimal"/>
      <w:lvlText w:val="%1."/>
      <w:lvlJc w:val="left"/>
      <w:pPr>
        <w:ind w:left="128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BFC357B"/>
    <w:multiLevelType w:val="multilevel"/>
    <w:tmpl w:val="E9FE3640"/>
    <w:lvl w:ilvl="0">
      <w:start w:val="1"/>
      <w:numFmt w:val="decimal"/>
      <w:lvlText w:val="%1."/>
      <w:lvlJc w:val="left"/>
      <w:pPr>
        <w:ind w:left="420" w:hanging="42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6">
    <w:nsid w:val="527355AA"/>
    <w:multiLevelType w:val="multilevel"/>
    <w:tmpl w:val="4DC84B94"/>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59851CFE"/>
    <w:multiLevelType w:val="multilevel"/>
    <w:tmpl w:val="25C20192"/>
    <w:lvl w:ilvl="0">
      <w:start w:val="1"/>
      <w:numFmt w:val="decimal"/>
      <w:lvlText w:val="%1."/>
      <w:lvlJc w:val="left"/>
      <w:pPr>
        <w:ind w:left="1288" w:hanging="360"/>
      </w:pPr>
      <w:rPr>
        <w:rFonts w:hint="default"/>
      </w:rPr>
    </w:lvl>
    <w:lvl w:ilvl="1">
      <w:start w:val="1"/>
      <w:numFmt w:val="decimal"/>
      <w:isLgl/>
      <w:lvlText w:val="%1.%2."/>
      <w:lvlJc w:val="left"/>
      <w:pPr>
        <w:ind w:left="2008" w:hanging="72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088" w:hanging="108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4168" w:hanging="1440"/>
      </w:pPr>
      <w:rPr>
        <w:rFonts w:hint="default"/>
      </w:rPr>
    </w:lvl>
    <w:lvl w:ilvl="6">
      <w:start w:val="1"/>
      <w:numFmt w:val="decimal"/>
      <w:isLgl/>
      <w:lvlText w:val="%1.%2.%3.%4.%5.%6.%7."/>
      <w:lvlJc w:val="left"/>
      <w:pPr>
        <w:ind w:left="4888" w:hanging="1800"/>
      </w:pPr>
      <w:rPr>
        <w:rFonts w:hint="default"/>
      </w:rPr>
    </w:lvl>
    <w:lvl w:ilvl="7">
      <w:start w:val="1"/>
      <w:numFmt w:val="decimal"/>
      <w:isLgl/>
      <w:lvlText w:val="%1.%2.%3.%4.%5.%6.%7.%8."/>
      <w:lvlJc w:val="left"/>
      <w:pPr>
        <w:ind w:left="5248" w:hanging="1800"/>
      </w:pPr>
      <w:rPr>
        <w:rFonts w:hint="default"/>
      </w:rPr>
    </w:lvl>
    <w:lvl w:ilvl="8">
      <w:start w:val="1"/>
      <w:numFmt w:val="decimal"/>
      <w:isLgl/>
      <w:lvlText w:val="%1.%2.%3.%4.%5.%6.%7.%8.%9."/>
      <w:lvlJc w:val="left"/>
      <w:pPr>
        <w:ind w:left="5968" w:hanging="2160"/>
      </w:pPr>
      <w:rPr>
        <w:rFonts w:hint="default"/>
      </w:rPr>
    </w:lvl>
  </w:abstractNum>
  <w:abstractNum w:abstractNumId="8">
    <w:nsid w:val="617C257D"/>
    <w:multiLevelType w:val="hybridMultilevel"/>
    <w:tmpl w:val="A572A9C4"/>
    <w:lvl w:ilvl="0" w:tplc="F70E72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2057BF1"/>
    <w:multiLevelType w:val="hybridMultilevel"/>
    <w:tmpl w:val="11BA94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26B568B"/>
    <w:multiLevelType w:val="hybridMultilevel"/>
    <w:tmpl w:val="D062C9AC"/>
    <w:lvl w:ilvl="0" w:tplc="A05A3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FCE4FA5"/>
    <w:multiLevelType w:val="hybridMultilevel"/>
    <w:tmpl w:val="E326CADC"/>
    <w:lvl w:ilvl="0" w:tplc="1F2ACE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7"/>
  </w:num>
  <w:num w:numId="4">
    <w:abstractNumId w:val="0"/>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8"/>
  </w:num>
  <w:num w:numId="10">
    <w:abstractNumId w:val="1"/>
  </w:num>
  <w:num w:numId="11">
    <w:abstractNumId w:val="3"/>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13C7D"/>
    <w:rsid w:val="00002CC1"/>
    <w:rsid w:val="00003703"/>
    <w:rsid w:val="000226DD"/>
    <w:rsid w:val="00051C59"/>
    <w:rsid w:val="000658D2"/>
    <w:rsid w:val="00097DFC"/>
    <w:rsid w:val="000D0AF7"/>
    <w:rsid w:val="000E3AD9"/>
    <w:rsid w:val="00102382"/>
    <w:rsid w:val="0010294A"/>
    <w:rsid w:val="00122D10"/>
    <w:rsid w:val="001572FF"/>
    <w:rsid w:val="00162728"/>
    <w:rsid w:val="001754B8"/>
    <w:rsid w:val="00195BA3"/>
    <w:rsid w:val="001A4026"/>
    <w:rsid w:val="00215A8B"/>
    <w:rsid w:val="002C749F"/>
    <w:rsid w:val="002D10CA"/>
    <w:rsid w:val="0030381B"/>
    <w:rsid w:val="00305C1C"/>
    <w:rsid w:val="003073FF"/>
    <w:rsid w:val="003148BE"/>
    <w:rsid w:val="0032306D"/>
    <w:rsid w:val="00336692"/>
    <w:rsid w:val="00346DBB"/>
    <w:rsid w:val="0036621A"/>
    <w:rsid w:val="003948AA"/>
    <w:rsid w:val="003D523A"/>
    <w:rsid w:val="003D610D"/>
    <w:rsid w:val="003F36E6"/>
    <w:rsid w:val="00437CD4"/>
    <w:rsid w:val="004402E8"/>
    <w:rsid w:val="00460883"/>
    <w:rsid w:val="00467FE5"/>
    <w:rsid w:val="00497537"/>
    <w:rsid w:val="004A4BE2"/>
    <w:rsid w:val="004B1085"/>
    <w:rsid w:val="004C65B5"/>
    <w:rsid w:val="004D79E1"/>
    <w:rsid w:val="004F381C"/>
    <w:rsid w:val="00502436"/>
    <w:rsid w:val="005101DC"/>
    <w:rsid w:val="00511DF5"/>
    <w:rsid w:val="00567F25"/>
    <w:rsid w:val="005A51F9"/>
    <w:rsid w:val="005C5F8B"/>
    <w:rsid w:val="005C6357"/>
    <w:rsid w:val="005D272C"/>
    <w:rsid w:val="005E77DD"/>
    <w:rsid w:val="00607A45"/>
    <w:rsid w:val="0063268B"/>
    <w:rsid w:val="00673629"/>
    <w:rsid w:val="006838F0"/>
    <w:rsid w:val="0069066D"/>
    <w:rsid w:val="0071696D"/>
    <w:rsid w:val="0072443E"/>
    <w:rsid w:val="00724D3E"/>
    <w:rsid w:val="00737739"/>
    <w:rsid w:val="00774FE8"/>
    <w:rsid w:val="00775634"/>
    <w:rsid w:val="00792D33"/>
    <w:rsid w:val="007E0786"/>
    <w:rsid w:val="007F3DBF"/>
    <w:rsid w:val="007F5FF3"/>
    <w:rsid w:val="008231FC"/>
    <w:rsid w:val="008248B3"/>
    <w:rsid w:val="0082796A"/>
    <w:rsid w:val="0083001B"/>
    <w:rsid w:val="008417E9"/>
    <w:rsid w:val="00864701"/>
    <w:rsid w:val="00891A26"/>
    <w:rsid w:val="008955E8"/>
    <w:rsid w:val="008B2836"/>
    <w:rsid w:val="008B5098"/>
    <w:rsid w:val="00911423"/>
    <w:rsid w:val="00913F77"/>
    <w:rsid w:val="00914AC2"/>
    <w:rsid w:val="0092307E"/>
    <w:rsid w:val="00935904"/>
    <w:rsid w:val="0094123E"/>
    <w:rsid w:val="00945CB9"/>
    <w:rsid w:val="009A3FE3"/>
    <w:rsid w:val="009A4344"/>
    <w:rsid w:val="009C13F7"/>
    <w:rsid w:val="009D208C"/>
    <w:rsid w:val="009D211E"/>
    <w:rsid w:val="009F199B"/>
    <w:rsid w:val="00A13C7D"/>
    <w:rsid w:val="00A16D0F"/>
    <w:rsid w:val="00A24E6D"/>
    <w:rsid w:val="00A45450"/>
    <w:rsid w:val="00A56E15"/>
    <w:rsid w:val="00A82544"/>
    <w:rsid w:val="00A97BDD"/>
    <w:rsid w:val="00AC52F1"/>
    <w:rsid w:val="00AC5F3C"/>
    <w:rsid w:val="00B115E1"/>
    <w:rsid w:val="00B26E1F"/>
    <w:rsid w:val="00B52818"/>
    <w:rsid w:val="00B87268"/>
    <w:rsid w:val="00BB18C0"/>
    <w:rsid w:val="00BB2640"/>
    <w:rsid w:val="00BB791D"/>
    <w:rsid w:val="00BC2FF6"/>
    <w:rsid w:val="00BD0808"/>
    <w:rsid w:val="00BD3176"/>
    <w:rsid w:val="00BD4855"/>
    <w:rsid w:val="00C368A0"/>
    <w:rsid w:val="00C83C4A"/>
    <w:rsid w:val="00C91A33"/>
    <w:rsid w:val="00CA4E82"/>
    <w:rsid w:val="00CB3295"/>
    <w:rsid w:val="00CC7A6A"/>
    <w:rsid w:val="00CD1797"/>
    <w:rsid w:val="00D00721"/>
    <w:rsid w:val="00D26D50"/>
    <w:rsid w:val="00D34B11"/>
    <w:rsid w:val="00D43908"/>
    <w:rsid w:val="00D6517E"/>
    <w:rsid w:val="00D93885"/>
    <w:rsid w:val="00DA2514"/>
    <w:rsid w:val="00DD1E59"/>
    <w:rsid w:val="00DD3922"/>
    <w:rsid w:val="00DD525B"/>
    <w:rsid w:val="00DD678B"/>
    <w:rsid w:val="00E068FB"/>
    <w:rsid w:val="00E762B6"/>
    <w:rsid w:val="00E842BB"/>
    <w:rsid w:val="00ED4AE3"/>
    <w:rsid w:val="00F15818"/>
    <w:rsid w:val="00F319C8"/>
    <w:rsid w:val="00F465AF"/>
    <w:rsid w:val="00F553E1"/>
    <w:rsid w:val="00F7174E"/>
    <w:rsid w:val="00F74A98"/>
    <w:rsid w:val="00F875C4"/>
    <w:rsid w:val="00FB4487"/>
    <w:rsid w:val="00FD0FFC"/>
    <w:rsid w:val="00FD3712"/>
    <w:rsid w:val="00FD5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8B3"/>
  </w:style>
  <w:style w:type="paragraph" w:styleId="1">
    <w:name w:val="heading 1"/>
    <w:basedOn w:val="a"/>
    <w:next w:val="a"/>
    <w:link w:val="10"/>
    <w:qFormat/>
    <w:rsid w:val="00A13C7D"/>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3C7D"/>
    <w:rPr>
      <w:rFonts w:ascii="Arial" w:eastAsia="Times New Roman" w:hAnsi="Arial" w:cs="Arial"/>
      <w:b/>
      <w:bCs/>
      <w:kern w:val="32"/>
      <w:sz w:val="32"/>
      <w:szCs w:val="32"/>
    </w:rPr>
  </w:style>
  <w:style w:type="paragraph" w:styleId="a3">
    <w:name w:val="List Paragraph"/>
    <w:aliases w:val="ПАРАГРАФ,Абзац списка11"/>
    <w:basedOn w:val="a"/>
    <w:link w:val="a4"/>
    <w:uiPriority w:val="1"/>
    <w:qFormat/>
    <w:rsid w:val="0094123E"/>
    <w:pPr>
      <w:ind w:left="720"/>
      <w:contextualSpacing/>
    </w:pPr>
  </w:style>
  <w:style w:type="character" w:customStyle="1" w:styleId="a4">
    <w:name w:val="Абзац списка Знак"/>
    <w:aliases w:val="ПАРАГРАФ Знак,Абзац списка11 Знак"/>
    <w:link w:val="a3"/>
    <w:uiPriority w:val="34"/>
    <w:locked/>
    <w:rsid w:val="005D272C"/>
  </w:style>
  <w:style w:type="character" w:styleId="a5">
    <w:name w:val="Strong"/>
    <w:qFormat/>
    <w:rsid w:val="00FD3712"/>
    <w:rPr>
      <w:b/>
      <w:bCs/>
    </w:rPr>
  </w:style>
  <w:style w:type="paragraph" w:customStyle="1" w:styleId="stylet1">
    <w:name w:val="stylet1"/>
    <w:basedOn w:val="a"/>
    <w:rsid w:val="00FD371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305C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05C1C"/>
    <w:rPr>
      <w:rFonts w:ascii="Segoe UI" w:hAnsi="Segoe UI" w:cs="Segoe UI"/>
      <w:sz w:val="18"/>
      <w:szCs w:val="18"/>
    </w:rPr>
  </w:style>
  <w:style w:type="table" w:styleId="a8">
    <w:name w:val="Table Grid"/>
    <w:basedOn w:val="a1"/>
    <w:uiPriority w:val="59"/>
    <w:rsid w:val="004402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567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Ãèïåðòåêñòîâàÿ ññûëêà"/>
    <w:rsid w:val="00864701"/>
    <w:rPr>
      <w:rFonts w:cs="Times New Roman"/>
      <w:b w:val="0"/>
      <w:bCs w:val="0"/>
      <w:color w:val="26282F"/>
    </w:rPr>
  </w:style>
  <w:style w:type="paragraph" w:styleId="ab">
    <w:name w:val="header"/>
    <w:basedOn w:val="a"/>
    <w:link w:val="ac"/>
    <w:rsid w:val="00864701"/>
    <w:pPr>
      <w:tabs>
        <w:tab w:val="center" w:pos="4153"/>
        <w:tab w:val="right" w:pos="8306"/>
      </w:tabs>
      <w:suppressAutoHyphens/>
      <w:spacing w:after="0" w:line="240" w:lineRule="auto"/>
      <w:jc w:val="both"/>
    </w:pPr>
    <w:rPr>
      <w:rFonts w:ascii="Times New Roman" w:eastAsia="Times New Roman" w:hAnsi="Times New Roman" w:cs="Times New Roman"/>
      <w:sz w:val="26"/>
      <w:szCs w:val="20"/>
      <w:lang w:eastAsia="ar-SA"/>
    </w:rPr>
  </w:style>
  <w:style w:type="character" w:customStyle="1" w:styleId="ac">
    <w:name w:val="Верхний колонтитул Знак"/>
    <w:basedOn w:val="a0"/>
    <w:link w:val="ab"/>
    <w:rsid w:val="00864701"/>
    <w:rPr>
      <w:rFonts w:ascii="Times New Roman" w:eastAsia="Times New Roman" w:hAnsi="Times New Roman" w:cs="Times New Roman"/>
      <w:sz w:val="26"/>
      <w:szCs w:val="20"/>
      <w:lang w:eastAsia="ar-SA"/>
    </w:rPr>
  </w:style>
  <w:style w:type="character" w:styleId="ad">
    <w:name w:val="Hyperlink"/>
    <w:basedOn w:val="a0"/>
    <w:uiPriority w:val="99"/>
    <w:unhideWhenUsed/>
    <w:rsid w:val="003073FF"/>
    <w:rPr>
      <w:color w:val="0000FF" w:themeColor="hyperlink"/>
      <w:u w:val="single"/>
    </w:rPr>
  </w:style>
  <w:style w:type="paragraph" w:styleId="ae">
    <w:name w:val="Body Text"/>
    <w:basedOn w:val="a"/>
    <w:link w:val="af"/>
    <w:uiPriority w:val="99"/>
    <w:unhideWhenUsed/>
    <w:rsid w:val="003073FF"/>
    <w:pPr>
      <w:spacing w:after="120"/>
    </w:pPr>
    <w:rPr>
      <w:rFonts w:ascii="Times New Roman" w:eastAsia="Calibri" w:hAnsi="Times New Roman" w:cs="Times New Roman"/>
      <w:sz w:val="28"/>
      <w:szCs w:val="28"/>
      <w:lang w:eastAsia="en-US"/>
    </w:rPr>
  </w:style>
  <w:style w:type="character" w:customStyle="1" w:styleId="af">
    <w:name w:val="Основной текст Знак"/>
    <w:basedOn w:val="a0"/>
    <w:link w:val="ae"/>
    <w:uiPriority w:val="99"/>
    <w:rsid w:val="003073FF"/>
    <w:rPr>
      <w:rFonts w:ascii="Times New Roman" w:eastAsia="Calibri"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429667776">
      <w:bodyDiv w:val="1"/>
      <w:marLeft w:val="0"/>
      <w:marRight w:val="0"/>
      <w:marTop w:val="0"/>
      <w:marBottom w:val="0"/>
      <w:divBdr>
        <w:top w:val="none" w:sz="0" w:space="0" w:color="auto"/>
        <w:left w:val="none" w:sz="0" w:space="0" w:color="auto"/>
        <w:bottom w:val="none" w:sz="0" w:space="0" w:color="auto"/>
        <w:right w:val="none" w:sz="0" w:space="0" w:color="auto"/>
      </w:divBdr>
    </w:div>
    <w:div w:id="474227737">
      <w:bodyDiv w:val="1"/>
      <w:marLeft w:val="0"/>
      <w:marRight w:val="0"/>
      <w:marTop w:val="0"/>
      <w:marBottom w:val="0"/>
      <w:divBdr>
        <w:top w:val="none" w:sz="0" w:space="0" w:color="auto"/>
        <w:left w:val="none" w:sz="0" w:space="0" w:color="auto"/>
        <w:bottom w:val="none" w:sz="0" w:space="0" w:color="auto"/>
        <w:right w:val="none" w:sz="0" w:space="0" w:color="auto"/>
      </w:divBdr>
    </w:div>
    <w:div w:id="10285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4767</Words>
  <Characters>27177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Win1</cp:lastModifiedBy>
  <cp:revision>2</cp:revision>
  <cp:lastPrinted>2025-06-05T09:14:00Z</cp:lastPrinted>
  <dcterms:created xsi:type="dcterms:W3CDTF">2025-06-05T09:31:00Z</dcterms:created>
  <dcterms:modified xsi:type="dcterms:W3CDTF">2025-06-05T09:31:00Z</dcterms:modified>
</cp:coreProperties>
</file>